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45DC3E">
      <w:pPr>
        <w:spacing w:line="360" w:lineRule="auto"/>
        <w:jc w:val="center"/>
        <w:rPr>
          <w:rFonts w:ascii="宋体" w:hAnsi="宋体"/>
          <w:sz w:val="24"/>
        </w:rPr>
      </w:pPr>
    </w:p>
    <w:p w14:paraId="781F0199">
      <w:pPr>
        <w:spacing w:line="360" w:lineRule="auto"/>
        <w:jc w:val="center"/>
        <w:rPr>
          <w:rFonts w:ascii="宋体" w:hAnsi="宋体"/>
          <w:sz w:val="24"/>
        </w:rPr>
      </w:pPr>
    </w:p>
    <w:p w14:paraId="588D4AEF">
      <w:pPr>
        <w:spacing w:line="360" w:lineRule="auto"/>
        <w:jc w:val="center"/>
        <w:rPr>
          <w:rFonts w:ascii="宋体" w:hAnsi="宋体"/>
          <w:sz w:val="24"/>
        </w:rPr>
      </w:pPr>
    </w:p>
    <w:p w14:paraId="3F809282">
      <w:pPr>
        <w:spacing w:line="360" w:lineRule="auto"/>
        <w:jc w:val="center"/>
        <w:rPr>
          <w:rFonts w:ascii="宋体" w:hAnsi="宋体"/>
          <w:sz w:val="24"/>
        </w:rPr>
      </w:pPr>
    </w:p>
    <w:p w14:paraId="42815D58">
      <w:pPr>
        <w:spacing w:line="360" w:lineRule="auto"/>
        <w:jc w:val="center"/>
        <w:rPr>
          <w:rFonts w:ascii="宋体" w:hAnsi="宋体"/>
          <w:b/>
          <w:bCs/>
          <w:sz w:val="52"/>
          <w:szCs w:val="52"/>
        </w:rPr>
      </w:pPr>
      <w:r>
        <w:rPr>
          <w:rFonts w:ascii="宋体" w:hAnsi="宋体"/>
          <w:b/>
          <w:bCs/>
          <w:sz w:val="52"/>
          <w:szCs w:val="52"/>
        </w:rPr>
        <w:t>2023</w:t>
      </w:r>
      <w:r>
        <w:rPr>
          <w:rFonts w:hint="eastAsia" w:ascii="宋体" w:hAnsi="宋体"/>
          <w:b/>
          <w:bCs/>
          <w:sz w:val="52"/>
          <w:szCs w:val="52"/>
        </w:rPr>
        <w:t>年度杭锦旗人民检察院</w:t>
      </w:r>
    </w:p>
    <w:p w14:paraId="77E6C3D2">
      <w:pPr>
        <w:spacing w:line="360" w:lineRule="auto"/>
        <w:jc w:val="center"/>
        <w:rPr>
          <w:rFonts w:ascii="宋体" w:hAnsi="宋体"/>
          <w:b/>
          <w:bCs/>
          <w:sz w:val="52"/>
          <w:szCs w:val="52"/>
        </w:rPr>
      </w:pPr>
      <w:r>
        <w:rPr>
          <w:rFonts w:hint="eastAsia" w:ascii="宋体" w:hAnsi="宋体"/>
          <w:b/>
          <w:bCs/>
          <w:sz w:val="52"/>
          <w:szCs w:val="52"/>
        </w:rPr>
        <w:t>公开文档</w:t>
      </w:r>
    </w:p>
    <w:p w14:paraId="6AF33ABC">
      <w:pPr>
        <w:spacing w:line="360" w:lineRule="auto"/>
        <w:jc w:val="center"/>
        <w:rPr>
          <w:rFonts w:ascii="宋体" w:hAnsi="宋体"/>
          <w:b/>
          <w:bCs/>
          <w:sz w:val="52"/>
          <w:szCs w:val="52"/>
        </w:rPr>
      </w:pPr>
    </w:p>
    <w:p w14:paraId="10212A6C">
      <w:pPr>
        <w:spacing w:line="360" w:lineRule="auto"/>
        <w:jc w:val="center"/>
        <w:rPr>
          <w:rFonts w:ascii="宋体" w:hAnsi="宋体"/>
          <w:b/>
          <w:bCs/>
          <w:sz w:val="52"/>
          <w:szCs w:val="52"/>
        </w:rPr>
      </w:pPr>
    </w:p>
    <w:p w14:paraId="636528E7">
      <w:pPr>
        <w:spacing w:line="360" w:lineRule="auto"/>
        <w:jc w:val="center"/>
        <w:rPr>
          <w:rFonts w:ascii="宋体" w:hAnsi="宋体"/>
          <w:b/>
          <w:bCs/>
          <w:sz w:val="52"/>
          <w:szCs w:val="52"/>
        </w:rPr>
      </w:pPr>
    </w:p>
    <w:p w14:paraId="3ADF248C">
      <w:pPr>
        <w:spacing w:line="360" w:lineRule="auto"/>
        <w:jc w:val="center"/>
        <w:rPr>
          <w:rFonts w:ascii="宋体" w:hAnsi="宋体"/>
          <w:b/>
          <w:bCs/>
          <w:sz w:val="52"/>
          <w:szCs w:val="52"/>
        </w:rPr>
      </w:pPr>
    </w:p>
    <w:p w14:paraId="1D89E7A7">
      <w:pPr>
        <w:spacing w:line="360" w:lineRule="auto"/>
        <w:jc w:val="center"/>
        <w:rPr>
          <w:rFonts w:ascii="宋体" w:hAnsi="宋体"/>
          <w:b/>
          <w:bCs/>
          <w:sz w:val="52"/>
          <w:szCs w:val="52"/>
        </w:rPr>
      </w:pPr>
    </w:p>
    <w:p w14:paraId="6C9B9DF2">
      <w:pPr>
        <w:spacing w:line="360" w:lineRule="auto"/>
        <w:ind w:firstLine="2240" w:firstLineChars="700"/>
        <w:jc w:val="left"/>
        <w:rPr>
          <w:rFonts w:ascii="宋体" w:hAnsi="宋体"/>
          <w:sz w:val="32"/>
          <w:szCs w:val="32"/>
        </w:rPr>
      </w:pPr>
      <w:r>
        <w:rPr>
          <w:rFonts w:hint="eastAsia" w:ascii="宋体" w:hAnsi="宋体"/>
          <w:sz w:val="32"/>
          <w:szCs w:val="32"/>
        </w:rPr>
        <w:t>部门名称：杭锦旗人民检察院</w:t>
      </w:r>
    </w:p>
    <w:p w14:paraId="29073C42">
      <w:pPr>
        <w:spacing w:line="360" w:lineRule="auto"/>
        <w:ind w:firstLine="2240" w:firstLineChars="700"/>
        <w:jc w:val="left"/>
        <w:rPr>
          <w:rFonts w:ascii="宋体" w:hAnsi="宋体"/>
          <w:sz w:val="32"/>
          <w:szCs w:val="32"/>
        </w:rPr>
      </w:pPr>
      <w:r>
        <w:rPr>
          <w:rFonts w:hint="eastAsia" w:ascii="宋体" w:hAnsi="宋体"/>
          <w:sz w:val="32"/>
          <w:szCs w:val="32"/>
        </w:rPr>
        <w:t>单位负责人：淡鹏飞</w:t>
      </w:r>
    </w:p>
    <w:p w14:paraId="159F86D2">
      <w:pPr>
        <w:spacing w:line="360" w:lineRule="auto"/>
        <w:ind w:firstLine="2240" w:firstLineChars="700"/>
        <w:jc w:val="left"/>
        <w:rPr>
          <w:rFonts w:ascii="宋体" w:hAnsi="宋体"/>
          <w:sz w:val="32"/>
          <w:szCs w:val="32"/>
        </w:rPr>
      </w:pPr>
      <w:r>
        <w:rPr>
          <w:rFonts w:hint="eastAsia" w:ascii="宋体" w:hAnsi="宋体"/>
          <w:sz w:val="32"/>
          <w:szCs w:val="32"/>
        </w:rPr>
        <w:t>财务负责人：包彩霞</w:t>
      </w:r>
    </w:p>
    <w:p w14:paraId="2403EDC6">
      <w:pPr>
        <w:spacing w:line="360" w:lineRule="auto"/>
        <w:ind w:firstLine="2240" w:firstLineChars="700"/>
        <w:jc w:val="left"/>
        <w:rPr>
          <w:rFonts w:ascii="宋体" w:hAnsi="宋体"/>
          <w:sz w:val="32"/>
          <w:szCs w:val="32"/>
        </w:rPr>
      </w:pPr>
      <w:r>
        <w:rPr>
          <w:rFonts w:hint="eastAsia" w:ascii="宋体" w:hAnsi="宋体"/>
          <w:sz w:val="32"/>
          <w:szCs w:val="32"/>
        </w:rPr>
        <w:t>编制人：敖日格乐</w:t>
      </w:r>
    </w:p>
    <w:p w14:paraId="188BA70B">
      <w:pPr>
        <w:spacing w:line="360" w:lineRule="auto"/>
        <w:ind w:firstLine="2240" w:firstLineChars="700"/>
        <w:jc w:val="left"/>
        <w:rPr>
          <w:rFonts w:ascii="仿宋" w:hAnsi="仿宋" w:eastAsia="仿宋"/>
          <w:b/>
          <w:sz w:val="32"/>
          <w:szCs w:val="32"/>
        </w:rPr>
        <w:sectPr>
          <w:footerReference r:id="rId3" w:type="default"/>
          <w:pgSz w:w="11906" w:h="16838"/>
          <w:pgMar w:top="1440" w:right="1083" w:bottom="1440" w:left="1083" w:header="0" w:footer="720" w:gutter="0"/>
          <w:cols w:space="425" w:num="1"/>
          <w:docGrid w:type="lines" w:linePitch="312" w:charSpace="0"/>
        </w:sectPr>
      </w:pPr>
      <w:r>
        <w:rPr>
          <w:rFonts w:hint="eastAsia" w:ascii="宋体" w:hAnsi="宋体"/>
          <w:sz w:val="32"/>
          <w:szCs w:val="32"/>
        </w:rPr>
        <w:t>报送日期：</w:t>
      </w:r>
      <w:r>
        <w:rPr>
          <w:rFonts w:ascii="宋体" w:hAnsi="宋体"/>
          <w:sz w:val="32"/>
          <w:szCs w:val="32"/>
        </w:rPr>
        <w:t>2024</w:t>
      </w:r>
      <w:r>
        <w:rPr>
          <w:rFonts w:hint="eastAsia" w:ascii="宋体" w:hAnsi="宋体"/>
          <w:sz w:val="32"/>
          <w:szCs w:val="32"/>
        </w:rPr>
        <w:t>年</w:t>
      </w:r>
      <w:r>
        <w:rPr>
          <w:rFonts w:hint="eastAsia" w:ascii="宋体" w:hAnsi="宋体"/>
          <w:sz w:val="32"/>
          <w:szCs w:val="32"/>
          <w:lang w:val="en-US" w:eastAsia="zh-CN"/>
        </w:rPr>
        <w:t>8</w:t>
      </w:r>
      <w:r>
        <w:rPr>
          <w:rFonts w:hint="eastAsia" w:ascii="宋体" w:hAnsi="宋体"/>
          <w:sz w:val="32"/>
          <w:szCs w:val="32"/>
        </w:rPr>
        <w:t>月</w:t>
      </w:r>
    </w:p>
    <w:p w14:paraId="1C9A9517">
      <w:pPr>
        <w:widowControl/>
        <w:spacing w:after="240"/>
        <w:jc w:val="center"/>
        <w:rPr>
          <w:rFonts w:ascii="Times New Roman" w:hAnsi="Times New Roman" w:eastAsia="Times New Roman" w:cs="Times New Roman"/>
          <w:kern w:val="0"/>
          <w:sz w:val="24"/>
        </w:rPr>
      </w:pPr>
      <w:bookmarkStart w:id="0" w:name="a000"/>
      <w:r>
        <w:rPr>
          <w:rFonts w:ascii="fang_song_gb2312" w:hAnsi="fang_song_gb2312" w:eastAsia="fang_song_gb2312" w:cs="fang_song_gb2312"/>
          <w:b/>
          <w:bCs/>
          <w:kern w:val="0"/>
          <w:sz w:val="54"/>
          <w:szCs w:val="54"/>
        </w:rPr>
        <w:t>目 录</w:t>
      </w:r>
    </w:p>
    <w:p w14:paraId="508E0936">
      <w:pPr>
        <w:widowControl/>
        <w:spacing w:before="240" w:after="240"/>
        <w:jc w:val="left"/>
        <w:rPr>
          <w:rFonts w:ascii="Times New Roman" w:hAnsi="Times New Roman" w:eastAsia="Times New Roman" w:cs="Times New Roman"/>
          <w:kern w:val="0"/>
          <w:sz w:val="24"/>
        </w:rPr>
      </w:pPr>
      <w:r>
        <w:rPr>
          <w:rFonts w:ascii="Times New Roman" w:hAnsi="Times New Roman" w:eastAsia="Times New Roman" w:cs="Times New Roman"/>
          <w:b/>
          <w:bCs/>
          <w:kern w:val="0"/>
          <w:sz w:val="24"/>
        </w:rPr>
        <w:t> </w:t>
      </w:r>
    </w:p>
    <w:p w14:paraId="0319B4F4">
      <w:pPr>
        <w:adjustRightInd w:val="0"/>
        <w:snapToGrid w:val="0"/>
        <w:spacing w:line="560" w:lineRule="exact"/>
        <w:jc w:val="left"/>
        <w:rPr>
          <w:rFonts w:hint="eastAsia" w:ascii="楷体_GB2312" w:hAnsi="宋体" w:eastAsia="楷体_GB2312" w:cs="Times New Roman"/>
          <w:b/>
          <w:color w:val="000000"/>
          <w:sz w:val="32"/>
          <w:szCs w:val="32"/>
        </w:rPr>
      </w:pPr>
      <w:r>
        <w:rPr>
          <w:rFonts w:hint="eastAsia" w:ascii="楷体_GB2312" w:hAnsi="宋体" w:eastAsia="楷体_GB2312" w:cs="Times New Roman"/>
          <w:b/>
          <w:color w:val="000000"/>
          <w:sz w:val="32"/>
          <w:szCs w:val="32"/>
        </w:rPr>
        <w:t>第一部分 部门概况</w:t>
      </w:r>
    </w:p>
    <w:p w14:paraId="61F7EE91">
      <w:pPr>
        <w:adjustRightInd w:val="0"/>
        <w:snapToGrid w:val="0"/>
        <w:spacing w:line="560" w:lineRule="exact"/>
        <w:ind w:firstLine="640" w:firstLineChars="200"/>
        <w:rPr>
          <w:rFonts w:hint="eastAsia" w:ascii="楷体_GB2312" w:hAnsi="黑体" w:eastAsia="楷体_GB2312" w:cs="Times New Roman"/>
          <w:color w:val="000000"/>
          <w:sz w:val="32"/>
          <w:szCs w:val="32"/>
        </w:rPr>
      </w:pPr>
      <w:r>
        <w:rPr>
          <w:rFonts w:hint="eastAsia" w:ascii="楷体_GB2312" w:hAnsi="黑体" w:eastAsia="楷体_GB2312" w:cs="Times New Roman"/>
          <w:color w:val="000000"/>
          <w:sz w:val="32"/>
          <w:szCs w:val="32"/>
        </w:rPr>
        <w:t>一、主要职能、职责</w:t>
      </w:r>
    </w:p>
    <w:p w14:paraId="53E54D68">
      <w:pPr>
        <w:adjustRightInd w:val="0"/>
        <w:snapToGrid w:val="0"/>
        <w:spacing w:line="560" w:lineRule="exact"/>
        <w:ind w:firstLine="640" w:firstLineChars="200"/>
        <w:rPr>
          <w:rFonts w:hint="eastAsia" w:ascii="楷体_GB2312" w:hAnsi="黑体" w:eastAsia="楷体_GB2312" w:cs="Times New Roman"/>
          <w:color w:val="000000"/>
          <w:sz w:val="32"/>
          <w:szCs w:val="32"/>
        </w:rPr>
      </w:pPr>
      <w:r>
        <w:rPr>
          <w:rFonts w:hint="eastAsia" w:ascii="楷体_GB2312" w:hAnsi="黑体" w:eastAsia="楷体_GB2312" w:cs="Times New Roman"/>
          <w:color w:val="000000"/>
          <w:sz w:val="32"/>
          <w:szCs w:val="32"/>
        </w:rPr>
        <w:t>二、部门机构设置及决算单位构成情况</w:t>
      </w:r>
    </w:p>
    <w:p w14:paraId="7B0B61CE">
      <w:pPr>
        <w:adjustRightInd w:val="0"/>
        <w:snapToGrid w:val="0"/>
        <w:spacing w:line="560" w:lineRule="exact"/>
        <w:ind w:firstLine="640" w:firstLineChars="200"/>
        <w:rPr>
          <w:rFonts w:hint="eastAsia" w:ascii="楷体_GB2312" w:hAnsi="黑体" w:eastAsia="楷体_GB2312" w:cs="Times New Roman"/>
          <w:color w:val="000000"/>
          <w:sz w:val="32"/>
          <w:szCs w:val="32"/>
        </w:rPr>
      </w:pPr>
      <w:r>
        <w:rPr>
          <w:rFonts w:hint="eastAsia" w:ascii="楷体_GB2312" w:hAnsi="黑体" w:eastAsia="楷体_GB2312" w:cs="Times New Roman"/>
          <w:color w:val="000000"/>
          <w:sz w:val="32"/>
          <w:szCs w:val="32"/>
        </w:rPr>
        <w:t>三、2023年度部门主要工作完成情况</w:t>
      </w:r>
    </w:p>
    <w:p w14:paraId="0CA54ABD">
      <w:pPr>
        <w:adjustRightInd w:val="0"/>
        <w:snapToGrid w:val="0"/>
        <w:spacing w:line="560" w:lineRule="exact"/>
        <w:jc w:val="left"/>
        <w:rPr>
          <w:rFonts w:hint="eastAsia" w:ascii="楷体_GB2312" w:hAnsi="宋体" w:eastAsia="楷体_GB2312" w:cs="Times New Roman"/>
          <w:b/>
          <w:color w:val="000000"/>
          <w:sz w:val="32"/>
          <w:szCs w:val="32"/>
        </w:rPr>
      </w:pPr>
      <w:r>
        <w:rPr>
          <w:rFonts w:hint="eastAsia" w:ascii="楷体_GB2312" w:hAnsi="宋体" w:eastAsia="楷体_GB2312" w:cs="Times New Roman"/>
          <w:b/>
          <w:color w:val="000000"/>
          <w:sz w:val="32"/>
          <w:szCs w:val="32"/>
        </w:rPr>
        <w:t>第二部分 部门决算情况说明</w:t>
      </w:r>
    </w:p>
    <w:p w14:paraId="347B087C">
      <w:pPr>
        <w:adjustRightInd w:val="0"/>
        <w:snapToGrid w:val="0"/>
        <w:spacing w:line="560" w:lineRule="exact"/>
        <w:ind w:firstLine="640" w:firstLineChars="200"/>
        <w:rPr>
          <w:rFonts w:hint="eastAsia" w:ascii="楷体_GB2312" w:hAnsi="黑体" w:eastAsia="楷体_GB2312" w:cs="Times New Roman"/>
          <w:color w:val="000000"/>
          <w:sz w:val="32"/>
          <w:szCs w:val="32"/>
        </w:rPr>
      </w:pPr>
      <w:r>
        <w:rPr>
          <w:rFonts w:hint="eastAsia" w:ascii="楷体_GB2312" w:hAnsi="黑体" w:eastAsia="楷体_GB2312" w:cs="Times New Roman"/>
          <w:color w:val="000000"/>
          <w:sz w:val="32"/>
          <w:szCs w:val="32"/>
        </w:rPr>
        <w:t>一、收入支出决算总体情况说明</w:t>
      </w:r>
    </w:p>
    <w:p w14:paraId="558BC48A">
      <w:pPr>
        <w:adjustRightInd w:val="0"/>
        <w:snapToGrid w:val="0"/>
        <w:spacing w:line="560" w:lineRule="exact"/>
        <w:ind w:firstLine="640" w:firstLineChars="200"/>
        <w:rPr>
          <w:rFonts w:hint="eastAsia" w:ascii="楷体_GB2312" w:hAnsi="黑体" w:eastAsia="楷体_GB2312" w:cs="Times New Roman"/>
          <w:color w:val="000000"/>
          <w:sz w:val="32"/>
          <w:szCs w:val="32"/>
        </w:rPr>
      </w:pPr>
      <w:r>
        <w:rPr>
          <w:rFonts w:hint="eastAsia" w:ascii="楷体_GB2312" w:hAnsi="黑体" w:eastAsia="楷体_GB2312" w:cs="Times New Roman"/>
          <w:color w:val="000000"/>
          <w:sz w:val="32"/>
          <w:szCs w:val="32"/>
        </w:rPr>
        <w:t>二、收入决算情况说明</w:t>
      </w:r>
    </w:p>
    <w:p w14:paraId="7312FD77">
      <w:pPr>
        <w:adjustRightInd w:val="0"/>
        <w:snapToGrid w:val="0"/>
        <w:spacing w:line="560" w:lineRule="exact"/>
        <w:ind w:firstLine="640" w:firstLineChars="200"/>
        <w:rPr>
          <w:rFonts w:hint="eastAsia" w:ascii="楷体_GB2312" w:hAnsi="黑体" w:eastAsia="楷体_GB2312" w:cs="Times New Roman"/>
          <w:color w:val="000000"/>
          <w:sz w:val="32"/>
          <w:szCs w:val="32"/>
        </w:rPr>
      </w:pPr>
      <w:r>
        <w:rPr>
          <w:rFonts w:hint="eastAsia" w:ascii="楷体_GB2312" w:hAnsi="黑体" w:eastAsia="楷体_GB2312" w:cs="Times New Roman"/>
          <w:color w:val="000000"/>
          <w:sz w:val="32"/>
          <w:szCs w:val="32"/>
        </w:rPr>
        <w:t>三、支出决算情况说明</w:t>
      </w:r>
    </w:p>
    <w:p w14:paraId="28424857">
      <w:pPr>
        <w:adjustRightInd w:val="0"/>
        <w:snapToGrid w:val="0"/>
        <w:spacing w:line="560" w:lineRule="exact"/>
        <w:ind w:firstLine="640" w:firstLineChars="200"/>
        <w:rPr>
          <w:rFonts w:hint="eastAsia" w:ascii="楷体_GB2312" w:hAnsi="黑体" w:eastAsia="楷体_GB2312" w:cs="Times New Roman"/>
          <w:color w:val="000000"/>
          <w:sz w:val="32"/>
          <w:szCs w:val="32"/>
        </w:rPr>
      </w:pPr>
      <w:r>
        <w:rPr>
          <w:rFonts w:hint="eastAsia" w:ascii="楷体_GB2312" w:hAnsi="黑体" w:eastAsia="楷体_GB2312" w:cs="Times New Roman"/>
          <w:color w:val="000000"/>
          <w:sz w:val="32"/>
          <w:szCs w:val="32"/>
        </w:rPr>
        <w:t>四、财政拨款收入支出决算总体情况说明</w:t>
      </w:r>
    </w:p>
    <w:p w14:paraId="6115B8D5">
      <w:pPr>
        <w:adjustRightInd w:val="0"/>
        <w:snapToGrid w:val="0"/>
        <w:spacing w:line="560" w:lineRule="exact"/>
        <w:ind w:firstLine="640" w:firstLineChars="200"/>
        <w:rPr>
          <w:rFonts w:hint="eastAsia" w:ascii="楷体_GB2312" w:hAnsi="黑体" w:eastAsia="楷体_GB2312" w:cs="Times New Roman"/>
          <w:color w:val="000000"/>
          <w:sz w:val="32"/>
          <w:szCs w:val="32"/>
        </w:rPr>
      </w:pPr>
      <w:r>
        <w:rPr>
          <w:rFonts w:hint="eastAsia" w:ascii="楷体_GB2312" w:hAnsi="黑体" w:eastAsia="楷体_GB2312" w:cs="Times New Roman"/>
          <w:color w:val="000000"/>
          <w:sz w:val="32"/>
          <w:szCs w:val="32"/>
        </w:rPr>
        <w:t>五、一般公共预算财政拨款支出决算情况说明</w:t>
      </w:r>
    </w:p>
    <w:p w14:paraId="0584F747">
      <w:pPr>
        <w:adjustRightInd w:val="0"/>
        <w:snapToGrid w:val="0"/>
        <w:spacing w:line="560" w:lineRule="exact"/>
        <w:ind w:firstLine="640" w:firstLineChars="200"/>
        <w:rPr>
          <w:rFonts w:hint="eastAsia" w:ascii="楷体_GB2312" w:hAnsi="黑体" w:eastAsia="楷体_GB2312" w:cs="Times New Roman"/>
          <w:color w:val="000000"/>
          <w:sz w:val="32"/>
          <w:szCs w:val="32"/>
        </w:rPr>
      </w:pPr>
      <w:r>
        <w:rPr>
          <w:rFonts w:hint="eastAsia" w:ascii="楷体_GB2312" w:hAnsi="黑体" w:eastAsia="楷体_GB2312" w:cs="Times New Roman"/>
          <w:color w:val="000000"/>
          <w:sz w:val="32"/>
          <w:szCs w:val="32"/>
        </w:rPr>
        <w:t>六、一般公共预算财政拨款基本支出决算情况说明</w:t>
      </w:r>
    </w:p>
    <w:p w14:paraId="698EBDD5">
      <w:pPr>
        <w:adjustRightInd w:val="0"/>
        <w:snapToGrid w:val="0"/>
        <w:spacing w:line="560" w:lineRule="exact"/>
        <w:ind w:firstLine="640" w:firstLineChars="200"/>
        <w:rPr>
          <w:rFonts w:hint="eastAsia" w:ascii="楷体_GB2312" w:hAnsi="黑体" w:eastAsia="楷体_GB2312" w:cs="Times New Roman"/>
          <w:color w:val="000000"/>
          <w:sz w:val="32"/>
          <w:szCs w:val="32"/>
        </w:rPr>
      </w:pPr>
      <w:r>
        <w:rPr>
          <w:rFonts w:hint="eastAsia" w:ascii="楷体_GB2312" w:hAnsi="黑体" w:eastAsia="楷体_GB2312" w:cs="Times New Roman"/>
          <w:color w:val="000000"/>
          <w:sz w:val="32"/>
          <w:szCs w:val="32"/>
        </w:rPr>
        <w:t>七、一般公共预算财政拨款项目支出决算情况说明</w:t>
      </w:r>
    </w:p>
    <w:p w14:paraId="3A23E930">
      <w:pPr>
        <w:adjustRightInd w:val="0"/>
        <w:snapToGrid w:val="0"/>
        <w:spacing w:line="560" w:lineRule="exact"/>
        <w:ind w:firstLine="640" w:firstLineChars="200"/>
        <w:rPr>
          <w:rFonts w:hint="eastAsia" w:ascii="楷体_GB2312" w:hAnsi="黑体" w:eastAsia="楷体_GB2312" w:cs="Times New Roman"/>
          <w:color w:val="000000"/>
          <w:sz w:val="32"/>
          <w:szCs w:val="32"/>
        </w:rPr>
      </w:pPr>
      <w:r>
        <w:rPr>
          <w:rFonts w:hint="eastAsia" w:ascii="楷体_GB2312" w:hAnsi="黑体" w:eastAsia="楷体_GB2312" w:cs="Times New Roman"/>
          <w:color w:val="000000"/>
          <w:sz w:val="32"/>
          <w:szCs w:val="32"/>
        </w:rPr>
        <w:t>八、财政拨款“三公”经费支出决算情况说明</w:t>
      </w:r>
    </w:p>
    <w:p w14:paraId="42E598A5">
      <w:pPr>
        <w:adjustRightInd w:val="0"/>
        <w:snapToGrid w:val="0"/>
        <w:spacing w:line="560" w:lineRule="exact"/>
        <w:ind w:firstLine="640" w:firstLineChars="200"/>
        <w:rPr>
          <w:rFonts w:hint="eastAsia" w:ascii="楷体_GB2312" w:hAnsi="黑体" w:eastAsia="楷体_GB2312" w:cs="Times New Roman"/>
          <w:color w:val="000000"/>
          <w:sz w:val="32"/>
          <w:szCs w:val="32"/>
        </w:rPr>
      </w:pPr>
      <w:r>
        <w:rPr>
          <w:rFonts w:hint="eastAsia" w:ascii="楷体_GB2312" w:hAnsi="黑体" w:eastAsia="楷体_GB2312" w:cs="Times New Roman"/>
          <w:color w:val="000000"/>
          <w:sz w:val="32"/>
          <w:szCs w:val="32"/>
        </w:rPr>
        <w:t>九、政府性基金预算财政拨款支出决算情况说明</w:t>
      </w:r>
    </w:p>
    <w:p w14:paraId="73802EC5">
      <w:pPr>
        <w:adjustRightInd w:val="0"/>
        <w:snapToGrid w:val="0"/>
        <w:spacing w:line="560" w:lineRule="exact"/>
        <w:ind w:firstLine="640" w:firstLineChars="200"/>
        <w:rPr>
          <w:rFonts w:hint="eastAsia" w:ascii="楷体_GB2312" w:hAnsi="黑体" w:eastAsia="楷体_GB2312" w:cs="Times New Roman"/>
          <w:color w:val="000000"/>
          <w:sz w:val="32"/>
          <w:szCs w:val="32"/>
        </w:rPr>
      </w:pPr>
      <w:r>
        <w:rPr>
          <w:rFonts w:hint="eastAsia" w:ascii="楷体_GB2312" w:hAnsi="黑体" w:eastAsia="楷体_GB2312" w:cs="Times New Roman"/>
          <w:color w:val="000000"/>
          <w:sz w:val="32"/>
          <w:szCs w:val="32"/>
        </w:rPr>
        <w:t>十、国有资本经营预算财政拨款支出决算情况说明</w:t>
      </w:r>
    </w:p>
    <w:p w14:paraId="49A7733F">
      <w:pPr>
        <w:adjustRightInd w:val="0"/>
        <w:snapToGrid w:val="0"/>
        <w:spacing w:line="560" w:lineRule="exact"/>
        <w:ind w:firstLine="640" w:firstLineChars="200"/>
        <w:rPr>
          <w:rFonts w:hint="eastAsia" w:ascii="楷体_GB2312" w:hAnsi="黑体" w:eastAsia="楷体_GB2312" w:cs="Times New Roman"/>
          <w:color w:val="000000"/>
          <w:sz w:val="32"/>
          <w:szCs w:val="32"/>
        </w:rPr>
      </w:pPr>
      <w:r>
        <w:rPr>
          <w:rFonts w:hint="eastAsia" w:ascii="楷体_GB2312" w:hAnsi="黑体" w:eastAsia="楷体_GB2312" w:cs="Times New Roman"/>
          <w:color w:val="000000"/>
          <w:sz w:val="32"/>
          <w:szCs w:val="32"/>
        </w:rPr>
        <w:t>十一、机构运行经费支出决算情况说明</w:t>
      </w:r>
    </w:p>
    <w:p w14:paraId="44616593">
      <w:pPr>
        <w:adjustRightInd w:val="0"/>
        <w:snapToGrid w:val="0"/>
        <w:spacing w:line="560" w:lineRule="exact"/>
        <w:ind w:firstLine="640" w:firstLineChars="200"/>
        <w:rPr>
          <w:rFonts w:hint="eastAsia" w:ascii="楷体_GB2312" w:hAnsi="黑体" w:eastAsia="楷体_GB2312" w:cs="Times New Roman"/>
          <w:color w:val="000000"/>
          <w:sz w:val="32"/>
          <w:szCs w:val="32"/>
        </w:rPr>
      </w:pPr>
      <w:r>
        <w:rPr>
          <w:rFonts w:hint="eastAsia" w:ascii="楷体_GB2312" w:hAnsi="黑体" w:eastAsia="楷体_GB2312" w:cs="Times New Roman"/>
          <w:color w:val="000000"/>
          <w:sz w:val="32"/>
          <w:szCs w:val="32"/>
        </w:rPr>
        <w:t>十二、政府采购支出决算情况说明</w:t>
      </w:r>
    </w:p>
    <w:p w14:paraId="08048541">
      <w:pPr>
        <w:adjustRightInd w:val="0"/>
        <w:snapToGrid w:val="0"/>
        <w:spacing w:line="560" w:lineRule="exact"/>
        <w:ind w:firstLine="640" w:firstLineChars="200"/>
        <w:rPr>
          <w:rFonts w:hint="eastAsia" w:ascii="楷体_GB2312" w:hAnsi="黑体" w:eastAsia="楷体_GB2312" w:cs="Times New Roman"/>
          <w:color w:val="000000"/>
          <w:sz w:val="32"/>
          <w:szCs w:val="32"/>
        </w:rPr>
      </w:pPr>
      <w:r>
        <w:rPr>
          <w:rFonts w:hint="eastAsia" w:ascii="楷体_GB2312" w:hAnsi="黑体" w:eastAsia="楷体_GB2312" w:cs="Times New Roman"/>
          <w:color w:val="000000"/>
          <w:sz w:val="32"/>
          <w:szCs w:val="32"/>
        </w:rPr>
        <w:t>十三、国有资产占用情况说明</w:t>
      </w:r>
    </w:p>
    <w:p w14:paraId="2DE12F38">
      <w:pPr>
        <w:adjustRightInd w:val="0"/>
        <w:snapToGrid w:val="0"/>
        <w:spacing w:line="560" w:lineRule="exact"/>
        <w:ind w:firstLine="640" w:firstLineChars="200"/>
        <w:rPr>
          <w:rFonts w:hint="eastAsia" w:ascii="楷体_GB2312" w:hAnsi="黑体" w:eastAsia="楷体_GB2312" w:cs="Times New Roman"/>
          <w:color w:val="000000"/>
          <w:sz w:val="32"/>
          <w:szCs w:val="32"/>
        </w:rPr>
      </w:pPr>
      <w:r>
        <w:rPr>
          <w:rFonts w:hint="eastAsia" w:ascii="楷体_GB2312" w:hAnsi="黑体" w:eastAsia="楷体_GB2312" w:cs="Times New Roman"/>
          <w:color w:val="000000"/>
          <w:sz w:val="32"/>
          <w:szCs w:val="32"/>
        </w:rPr>
        <w:t>十四、预算绩效情况说明</w:t>
      </w:r>
    </w:p>
    <w:p w14:paraId="2572C0D2">
      <w:pPr>
        <w:adjustRightInd w:val="0"/>
        <w:snapToGrid w:val="0"/>
        <w:spacing w:line="560" w:lineRule="exact"/>
        <w:jc w:val="left"/>
        <w:rPr>
          <w:rFonts w:hint="eastAsia" w:ascii="楷体_GB2312" w:hAnsi="宋体" w:eastAsia="楷体_GB2312" w:cs="Times New Roman"/>
          <w:b/>
          <w:color w:val="000000"/>
          <w:sz w:val="32"/>
          <w:szCs w:val="32"/>
        </w:rPr>
      </w:pPr>
      <w:r>
        <w:rPr>
          <w:rFonts w:hint="eastAsia" w:ascii="楷体_GB2312" w:hAnsi="宋体" w:eastAsia="楷体_GB2312" w:cs="Times New Roman"/>
          <w:b/>
          <w:color w:val="000000"/>
          <w:sz w:val="32"/>
          <w:szCs w:val="32"/>
        </w:rPr>
        <w:t>第三部分 名词解释</w:t>
      </w:r>
    </w:p>
    <w:p w14:paraId="4784B1D4">
      <w:pPr>
        <w:adjustRightInd w:val="0"/>
        <w:snapToGrid w:val="0"/>
        <w:spacing w:line="560" w:lineRule="exact"/>
        <w:jc w:val="left"/>
        <w:rPr>
          <w:rFonts w:hint="eastAsia" w:ascii="楷体_GB2312" w:hAnsi="宋体" w:eastAsia="楷体_GB2312" w:cs="Times New Roman"/>
          <w:b/>
          <w:color w:val="000000"/>
          <w:sz w:val="32"/>
          <w:szCs w:val="32"/>
        </w:rPr>
      </w:pPr>
      <w:r>
        <w:rPr>
          <w:rFonts w:hint="eastAsia" w:ascii="楷体_GB2312" w:hAnsi="宋体" w:eastAsia="楷体_GB2312" w:cs="Times New Roman"/>
          <w:b/>
          <w:color w:val="000000"/>
          <w:sz w:val="32"/>
          <w:szCs w:val="32"/>
        </w:rPr>
        <w:t>第四部分 决算公开联系方式及信息反馈渠道</w:t>
      </w:r>
    </w:p>
    <w:p w14:paraId="561BCD7B">
      <w:pPr>
        <w:adjustRightInd w:val="0"/>
        <w:snapToGrid w:val="0"/>
        <w:spacing w:line="560" w:lineRule="exact"/>
        <w:jc w:val="left"/>
        <w:rPr>
          <w:rFonts w:hint="eastAsia" w:ascii="楷体_GB2312" w:hAnsi="宋体" w:eastAsia="楷体_GB2312" w:cs="Times New Roman"/>
          <w:b/>
          <w:color w:val="000000"/>
          <w:sz w:val="32"/>
          <w:szCs w:val="32"/>
        </w:rPr>
      </w:pPr>
      <w:r>
        <w:rPr>
          <w:rFonts w:hint="eastAsia" w:ascii="楷体_GB2312" w:hAnsi="宋体" w:eastAsia="楷体_GB2312" w:cs="Times New Roman"/>
          <w:b/>
          <w:color w:val="000000"/>
          <w:sz w:val="32"/>
          <w:szCs w:val="32"/>
        </w:rPr>
        <w:t>第五部分 部门决算表</w:t>
      </w:r>
    </w:p>
    <w:p w14:paraId="45056E21">
      <w:pPr>
        <w:adjustRightInd w:val="0"/>
        <w:snapToGrid w:val="0"/>
        <w:spacing w:line="560" w:lineRule="exact"/>
        <w:ind w:firstLine="640" w:firstLineChars="200"/>
        <w:rPr>
          <w:rFonts w:hint="eastAsia" w:ascii="楷体_GB2312" w:hAnsi="黑体" w:eastAsia="楷体_GB2312" w:cs="Times New Roman"/>
          <w:color w:val="000000"/>
          <w:sz w:val="32"/>
          <w:szCs w:val="32"/>
        </w:rPr>
      </w:pPr>
      <w:r>
        <w:rPr>
          <w:rFonts w:hint="eastAsia" w:ascii="楷体_GB2312" w:hAnsi="黑体" w:eastAsia="楷体_GB2312" w:cs="Times New Roman"/>
          <w:color w:val="000000"/>
          <w:sz w:val="32"/>
          <w:szCs w:val="32"/>
        </w:rPr>
        <w:t>一、收入支出决算总表</w:t>
      </w:r>
    </w:p>
    <w:p w14:paraId="60669D9C">
      <w:pPr>
        <w:adjustRightInd w:val="0"/>
        <w:snapToGrid w:val="0"/>
        <w:spacing w:line="560" w:lineRule="exact"/>
        <w:ind w:firstLine="640" w:firstLineChars="200"/>
        <w:rPr>
          <w:rFonts w:hint="eastAsia" w:ascii="楷体_GB2312" w:hAnsi="黑体" w:eastAsia="楷体_GB2312" w:cs="Times New Roman"/>
          <w:color w:val="000000"/>
          <w:sz w:val="32"/>
          <w:szCs w:val="32"/>
        </w:rPr>
      </w:pPr>
      <w:r>
        <w:rPr>
          <w:rFonts w:hint="eastAsia" w:ascii="楷体_GB2312" w:hAnsi="黑体" w:eastAsia="楷体_GB2312" w:cs="Times New Roman"/>
          <w:color w:val="000000"/>
          <w:sz w:val="32"/>
          <w:szCs w:val="32"/>
        </w:rPr>
        <w:t>二、收入决算表</w:t>
      </w:r>
    </w:p>
    <w:p w14:paraId="4C42BD28">
      <w:pPr>
        <w:adjustRightInd w:val="0"/>
        <w:snapToGrid w:val="0"/>
        <w:spacing w:line="560" w:lineRule="exact"/>
        <w:ind w:firstLine="640" w:firstLineChars="200"/>
        <w:rPr>
          <w:rFonts w:hint="eastAsia" w:ascii="楷体_GB2312" w:hAnsi="黑体" w:eastAsia="楷体_GB2312" w:cs="Times New Roman"/>
          <w:color w:val="000000"/>
          <w:sz w:val="32"/>
          <w:szCs w:val="32"/>
        </w:rPr>
      </w:pPr>
      <w:r>
        <w:rPr>
          <w:rFonts w:hint="eastAsia" w:ascii="楷体_GB2312" w:hAnsi="黑体" w:eastAsia="楷体_GB2312" w:cs="Times New Roman"/>
          <w:color w:val="000000"/>
          <w:sz w:val="32"/>
          <w:szCs w:val="32"/>
        </w:rPr>
        <w:t>三、支出决算表</w:t>
      </w:r>
    </w:p>
    <w:p w14:paraId="2ED302BA">
      <w:pPr>
        <w:adjustRightInd w:val="0"/>
        <w:snapToGrid w:val="0"/>
        <w:spacing w:line="560" w:lineRule="exact"/>
        <w:ind w:firstLine="640" w:firstLineChars="200"/>
        <w:rPr>
          <w:rFonts w:hint="eastAsia" w:ascii="楷体_GB2312" w:hAnsi="黑体" w:eastAsia="楷体_GB2312" w:cs="Times New Roman"/>
          <w:color w:val="000000"/>
          <w:sz w:val="32"/>
          <w:szCs w:val="32"/>
        </w:rPr>
      </w:pPr>
      <w:r>
        <w:rPr>
          <w:rFonts w:hint="eastAsia" w:ascii="楷体_GB2312" w:hAnsi="黑体" w:eastAsia="楷体_GB2312" w:cs="Times New Roman"/>
          <w:color w:val="000000"/>
          <w:sz w:val="32"/>
          <w:szCs w:val="32"/>
        </w:rPr>
        <w:t>四、财政拨款收入支出决算总表</w:t>
      </w:r>
    </w:p>
    <w:p w14:paraId="43C49E53">
      <w:pPr>
        <w:adjustRightInd w:val="0"/>
        <w:snapToGrid w:val="0"/>
        <w:spacing w:line="560" w:lineRule="exact"/>
        <w:ind w:firstLine="640" w:firstLineChars="200"/>
        <w:rPr>
          <w:rFonts w:hint="eastAsia" w:ascii="楷体_GB2312" w:hAnsi="黑体" w:eastAsia="楷体_GB2312" w:cs="Times New Roman"/>
          <w:color w:val="000000"/>
          <w:sz w:val="32"/>
          <w:szCs w:val="32"/>
        </w:rPr>
      </w:pPr>
      <w:r>
        <w:rPr>
          <w:rFonts w:hint="eastAsia" w:ascii="楷体_GB2312" w:hAnsi="黑体" w:eastAsia="楷体_GB2312" w:cs="Times New Roman"/>
          <w:color w:val="000000"/>
          <w:sz w:val="32"/>
          <w:szCs w:val="32"/>
        </w:rPr>
        <w:t>五、一般公共预算财政拨款支出决算表</w:t>
      </w:r>
    </w:p>
    <w:p w14:paraId="57226D46">
      <w:pPr>
        <w:adjustRightInd w:val="0"/>
        <w:snapToGrid w:val="0"/>
        <w:spacing w:line="560" w:lineRule="exact"/>
        <w:ind w:firstLine="640" w:firstLineChars="200"/>
        <w:rPr>
          <w:rFonts w:hint="eastAsia" w:ascii="楷体_GB2312" w:hAnsi="黑体" w:eastAsia="楷体_GB2312" w:cs="Times New Roman"/>
          <w:color w:val="000000"/>
          <w:sz w:val="32"/>
          <w:szCs w:val="32"/>
        </w:rPr>
      </w:pPr>
      <w:r>
        <w:rPr>
          <w:rFonts w:hint="eastAsia" w:ascii="楷体_GB2312" w:hAnsi="黑体" w:eastAsia="楷体_GB2312" w:cs="Times New Roman"/>
          <w:color w:val="000000"/>
          <w:sz w:val="32"/>
          <w:szCs w:val="32"/>
        </w:rPr>
        <w:t>六、一般公共预算财政拨款基本支出决算明细表</w:t>
      </w:r>
    </w:p>
    <w:p w14:paraId="3292D9EF">
      <w:pPr>
        <w:adjustRightInd w:val="0"/>
        <w:snapToGrid w:val="0"/>
        <w:spacing w:line="560" w:lineRule="exact"/>
        <w:ind w:firstLine="640" w:firstLineChars="200"/>
        <w:rPr>
          <w:rFonts w:hint="eastAsia" w:ascii="楷体_GB2312" w:hAnsi="黑体" w:eastAsia="楷体_GB2312" w:cs="Times New Roman"/>
          <w:color w:val="000000"/>
          <w:sz w:val="32"/>
          <w:szCs w:val="32"/>
        </w:rPr>
      </w:pPr>
      <w:r>
        <w:rPr>
          <w:rFonts w:hint="eastAsia" w:ascii="楷体_GB2312" w:hAnsi="黑体" w:eastAsia="楷体_GB2312" w:cs="Times New Roman"/>
          <w:color w:val="000000"/>
          <w:sz w:val="32"/>
          <w:szCs w:val="32"/>
        </w:rPr>
        <w:t>七、一般公共预算财政拨款项目支出决算明细表</w:t>
      </w:r>
    </w:p>
    <w:p w14:paraId="035E612D">
      <w:pPr>
        <w:adjustRightInd w:val="0"/>
        <w:snapToGrid w:val="0"/>
        <w:spacing w:line="560" w:lineRule="exact"/>
        <w:ind w:firstLine="640" w:firstLineChars="200"/>
        <w:rPr>
          <w:rFonts w:hint="eastAsia" w:ascii="楷体_GB2312" w:hAnsi="黑体" w:eastAsia="楷体_GB2312" w:cs="Times New Roman"/>
          <w:color w:val="000000"/>
          <w:sz w:val="32"/>
          <w:szCs w:val="32"/>
        </w:rPr>
      </w:pPr>
      <w:r>
        <w:rPr>
          <w:rFonts w:hint="eastAsia" w:ascii="楷体_GB2312" w:hAnsi="黑体" w:eastAsia="楷体_GB2312" w:cs="Times New Roman"/>
          <w:color w:val="000000"/>
          <w:sz w:val="32"/>
          <w:szCs w:val="32"/>
        </w:rPr>
        <w:t>八、政府性基金预算财政拨款收入支出决算表</w:t>
      </w:r>
    </w:p>
    <w:p w14:paraId="31010AAC">
      <w:pPr>
        <w:adjustRightInd w:val="0"/>
        <w:snapToGrid w:val="0"/>
        <w:spacing w:line="560" w:lineRule="exact"/>
        <w:ind w:firstLine="640" w:firstLineChars="200"/>
        <w:rPr>
          <w:rFonts w:hint="eastAsia" w:ascii="楷体_GB2312" w:hAnsi="黑体" w:eastAsia="楷体_GB2312" w:cs="Times New Roman"/>
          <w:color w:val="000000"/>
          <w:sz w:val="32"/>
          <w:szCs w:val="32"/>
        </w:rPr>
      </w:pPr>
      <w:r>
        <w:rPr>
          <w:rFonts w:hint="eastAsia" w:ascii="楷体_GB2312" w:hAnsi="黑体" w:eastAsia="楷体_GB2312" w:cs="Times New Roman"/>
          <w:color w:val="000000"/>
          <w:sz w:val="32"/>
          <w:szCs w:val="32"/>
        </w:rPr>
        <w:t>九、国有资本经营预算财政拨款支出决算表</w:t>
      </w:r>
    </w:p>
    <w:p w14:paraId="02E80AE7">
      <w:pPr>
        <w:adjustRightInd w:val="0"/>
        <w:snapToGrid w:val="0"/>
        <w:spacing w:line="560" w:lineRule="exact"/>
        <w:ind w:firstLine="640" w:firstLineChars="200"/>
        <w:rPr>
          <w:rFonts w:hint="eastAsia" w:ascii="楷体_GB2312" w:hAnsi="黑体" w:eastAsia="楷体_GB2312" w:cs="Times New Roman"/>
          <w:color w:val="000000"/>
          <w:sz w:val="32"/>
          <w:szCs w:val="32"/>
        </w:rPr>
      </w:pPr>
      <w:r>
        <w:rPr>
          <w:rFonts w:hint="eastAsia" w:ascii="楷体_GB2312" w:hAnsi="黑体" w:eastAsia="楷体_GB2312" w:cs="Times New Roman"/>
          <w:color w:val="000000"/>
          <w:sz w:val="32"/>
          <w:szCs w:val="32"/>
        </w:rPr>
        <w:t>十、财政拨款“三公”经费支出决算表</w:t>
      </w:r>
    </w:p>
    <w:p w14:paraId="3C918C92">
      <w:pPr>
        <w:adjustRightInd w:val="0"/>
        <w:snapToGrid w:val="0"/>
        <w:spacing w:line="560" w:lineRule="exact"/>
        <w:ind w:firstLine="640" w:firstLineChars="200"/>
        <w:rPr>
          <w:rFonts w:hint="eastAsia" w:ascii="楷体_GB2312" w:hAnsi="黑体" w:eastAsia="楷体_GB2312" w:cs="Times New Roman"/>
          <w:color w:val="000000"/>
          <w:sz w:val="32"/>
          <w:szCs w:val="32"/>
        </w:rPr>
      </w:pPr>
      <w:r>
        <w:rPr>
          <w:rFonts w:hint="eastAsia" w:ascii="楷体_GB2312" w:hAnsi="黑体" w:eastAsia="楷体_GB2312" w:cs="Times New Roman"/>
          <w:color w:val="000000"/>
          <w:sz w:val="32"/>
          <w:szCs w:val="32"/>
        </w:rPr>
        <w:t>十一、机构运行经费支出、国有资产占用情况及政府采购支出信息表</w:t>
      </w:r>
    </w:p>
    <w:p w14:paraId="1DC31BBB">
      <w:pPr>
        <w:widowControl/>
        <w:spacing w:before="240" w:after="240"/>
        <w:rPr>
          <w:rFonts w:ascii="Times New Roman" w:hAnsi="Times New Roman" w:eastAsia="Times New Roman" w:cs="Times New Roman"/>
          <w:kern w:val="0"/>
          <w:sz w:val="24"/>
        </w:rPr>
      </w:pPr>
    </w:p>
    <w:p w14:paraId="60EDACF9">
      <w:pPr>
        <w:widowControl/>
        <w:spacing w:before="240" w:after="240"/>
        <w:rPr>
          <w:rFonts w:ascii="Times New Roman" w:hAnsi="Times New Roman" w:eastAsia="Times New Roman" w:cs="Times New Roman"/>
          <w:kern w:val="0"/>
          <w:sz w:val="24"/>
        </w:rPr>
      </w:pPr>
    </w:p>
    <w:p w14:paraId="7CED9BE3">
      <w:pPr>
        <w:widowControl/>
        <w:spacing w:before="240" w:after="240"/>
        <w:rPr>
          <w:rFonts w:ascii="Times New Roman" w:hAnsi="Times New Roman" w:eastAsia="Times New Roman" w:cs="Times New Roman"/>
          <w:kern w:val="0"/>
          <w:sz w:val="24"/>
        </w:rPr>
      </w:pPr>
    </w:p>
    <w:p w14:paraId="4C2D38EE">
      <w:pPr>
        <w:widowControl/>
        <w:spacing w:before="240" w:after="240"/>
        <w:jc w:val="both"/>
        <w:rPr>
          <w:rFonts w:ascii="fang_zheng_xiao_biao_song_ti" w:hAnsi="fang_zheng_xiao_biao_song_ti" w:eastAsia="fang_zheng_xiao_biao_song_ti" w:cs="fang_zheng_xiao_biao_song_ti"/>
          <w:b/>
          <w:bCs/>
          <w:color w:val="000000"/>
          <w:kern w:val="0"/>
          <w:sz w:val="36"/>
          <w:szCs w:val="36"/>
        </w:rPr>
      </w:pPr>
    </w:p>
    <w:p w14:paraId="6D6A34C3">
      <w:pPr>
        <w:widowControl/>
        <w:spacing w:before="240" w:after="240"/>
        <w:jc w:val="center"/>
        <w:rPr>
          <w:rFonts w:ascii="fang_zheng_xiao_biao_song_ti" w:hAnsi="fang_zheng_xiao_biao_song_ti" w:eastAsia="fang_zheng_xiao_biao_song_ti" w:cs="fang_zheng_xiao_biao_song_ti"/>
          <w:b/>
          <w:bCs/>
          <w:color w:val="000000"/>
          <w:kern w:val="0"/>
          <w:sz w:val="36"/>
          <w:szCs w:val="36"/>
        </w:rPr>
      </w:pPr>
    </w:p>
    <w:p w14:paraId="096A029E">
      <w:pPr>
        <w:keepNext w:val="0"/>
        <w:keepLines w:val="0"/>
        <w:pageBreakBefore w:val="0"/>
        <w:kinsoku/>
        <w:wordWrap/>
        <w:overflowPunct/>
        <w:topLinePunct w:val="0"/>
        <w:autoSpaceDE/>
        <w:autoSpaceDN/>
        <w:bidi w:val="0"/>
        <w:adjustRightInd w:val="0"/>
        <w:snapToGrid w:val="0"/>
        <w:spacing w:beforeAutospacing="0" w:afterAutospacing="0" w:line="560" w:lineRule="exact"/>
        <w:jc w:val="center"/>
        <w:textAlignment w:val="auto"/>
        <w:rPr>
          <w:rFonts w:hint="eastAsia" w:ascii="楷体_GB2312" w:hAnsi="宋体" w:eastAsia="楷体_GB2312" w:cs="Times New Roman"/>
          <w:b/>
          <w:color w:val="000000"/>
          <w:sz w:val="32"/>
          <w:szCs w:val="32"/>
        </w:rPr>
      </w:pPr>
      <w:r>
        <w:rPr>
          <w:rFonts w:hint="eastAsia" w:ascii="楷体_GB2312" w:hAnsi="宋体" w:eastAsia="楷体_GB2312" w:cs="Times New Roman"/>
          <w:b/>
          <w:color w:val="000000"/>
          <w:sz w:val="32"/>
          <w:szCs w:val="32"/>
        </w:rPr>
        <w:t>第一部分 部门概况</w:t>
      </w:r>
    </w:p>
    <w:p w14:paraId="6F65E0DD">
      <w:pPr>
        <w:keepNext w:val="0"/>
        <w:keepLines w:val="0"/>
        <w:pageBreakBefore w:val="0"/>
        <w:widowControl/>
        <w:kinsoku/>
        <w:wordWrap/>
        <w:overflowPunct/>
        <w:topLinePunct w:val="0"/>
        <w:autoSpaceDE/>
        <w:autoSpaceDN/>
        <w:bidi w:val="0"/>
        <w:spacing w:beforeAutospacing="0" w:afterAutospacing="0" w:line="560" w:lineRule="exact"/>
        <w:jc w:val="left"/>
        <w:textAlignment w:val="auto"/>
        <w:rPr>
          <w:rFonts w:hint="eastAsia" w:ascii="黑体" w:hAnsi="黑体" w:eastAsia="黑体" w:cs="Times New Roman"/>
          <w:sz w:val="32"/>
          <w:szCs w:val="32"/>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hint="eastAsia" w:ascii="Calibri" w:hAnsi="Calibri" w:cs="Calibri"/>
          <w:b/>
          <w:bCs/>
          <w:kern w:val="0"/>
          <w:sz w:val="27"/>
          <w:szCs w:val="27"/>
          <w:lang w:val="en-US" w:eastAsia="zh-CN"/>
        </w:rPr>
        <w:t xml:space="preserve">    </w:t>
      </w:r>
      <w:r>
        <w:rPr>
          <w:rFonts w:hint="eastAsia" w:ascii="黑体" w:hAnsi="黑体" w:eastAsia="黑体" w:cs="Times New Roman"/>
          <w:sz w:val="32"/>
          <w:szCs w:val="32"/>
        </w:rPr>
        <w:t>一、主要职能、职责</w:t>
      </w:r>
    </w:p>
    <w:p w14:paraId="36F97EFF">
      <w:pPr>
        <w:keepNext w:val="0"/>
        <w:keepLines w:val="0"/>
        <w:pageBreakBefore w:val="0"/>
        <w:kinsoku/>
        <w:wordWrap/>
        <w:overflowPunct/>
        <w:topLinePunct w:val="0"/>
        <w:autoSpaceDE/>
        <w:autoSpaceDN/>
        <w:bidi w:val="0"/>
        <w:snapToGrid w:val="0"/>
        <w:spacing w:beforeAutospacing="0" w:afterAutospacing="0" w:line="560" w:lineRule="exact"/>
        <w:ind w:firstLine="540" w:firstLineChars="200"/>
        <w:textAlignment w:val="auto"/>
        <w:rPr>
          <w:rFonts w:hint="eastAsia" w:ascii="楷体_GB2312" w:eastAsia="楷体_GB2312"/>
          <w:sz w:val="32"/>
          <w:szCs w:val="32"/>
        </w:rPr>
      </w:pPr>
      <w:r>
        <w:rPr>
          <w:rFonts w:ascii="fang_song_gb2312" w:hAnsi="fang_song_gb2312" w:eastAsia="fang_song_gb2312" w:cs="fang_song_gb2312"/>
          <w:color w:val="0E00FE"/>
          <w:kern w:val="0"/>
          <w:sz w:val="27"/>
          <w:szCs w:val="27"/>
        </w:rPr>
        <w:t xml:space="preserve">    </w:t>
      </w:r>
      <w:r>
        <w:rPr>
          <w:rFonts w:hint="eastAsia" w:ascii="楷体_GB2312" w:eastAsia="楷体_GB2312"/>
          <w:sz w:val="32"/>
          <w:szCs w:val="32"/>
        </w:rPr>
        <w:t>（一）部门职能</w:t>
      </w:r>
    </w:p>
    <w:p w14:paraId="52C54FEA">
      <w:pPr>
        <w:keepNext w:val="0"/>
        <w:keepLines w:val="0"/>
        <w:pageBreakBefore w:val="0"/>
        <w:kinsoku/>
        <w:wordWrap/>
        <w:overflowPunct/>
        <w:topLinePunct w:val="0"/>
        <w:autoSpaceDE/>
        <w:autoSpaceDN/>
        <w:bidi w:val="0"/>
        <w:snapToGrid w:val="0"/>
        <w:spacing w:beforeAutospacing="0" w:afterAutospacing="0" w:line="560" w:lineRule="exact"/>
        <w:ind w:firstLine="640"/>
        <w:textAlignment w:val="auto"/>
        <w:rPr>
          <w:rFonts w:hint="eastAsia" w:eastAsia="仿宋_GB2312"/>
          <w:sz w:val="32"/>
          <w:szCs w:val="32"/>
        </w:rPr>
      </w:pPr>
      <w:r>
        <w:rPr>
          <w:rFonts w:hint="eastAsia" w:ascii="仿宋_GB2312" w:hAnsi="黑体" w:eastAsia="仿宋_GB2312"/>
          <w:sz w:val="32"/>
          <w:szCs w:val="32"/>
        </w:rPr>
        <w:t>杭锦旗</w:t>
      </w:r>
      <w:r>
        <w:rPr>
          <w:rFonts w:hint="eastAsia" w:ascii="仿宋_GB2312" w:hAnsi="仿宋" w:eastAsia="仿宋_GB2312" w:cs="仿宋"/>
          <w:sz w:val="32"/>
          <w:szCs w:val="32"/>
        </w:rPr>
        <w:t>人民检察院是国家的法律监督机关。对杭锦旗人民代表大会及其常务委员会负责并报告工作。其主要职责是：依法向杭锦旗人民代表大会及其常务委员会提出议案，接受杭锦旗人民代表大会及其常务委员会的监督。接受市人民检察院的领导。贯彻执行党的路线、方针、政策，研究部署检察工作任务。</w:t>
      </w:r>
      <w:r>
        <w:rPr>
          <w:rFonts w:hint="eastAsia" w:ascii="仿宋_GB2312" w:hAnsi="仿宋" w:eastAsia="仿宋_GB2312" w:cs="仿宋"/>
          <w:sz w:val="32"/>
          <w:szCs w:val="32"/>
          <w:lang w:eastAsia="zh-CN"/>
        </w:rPr>
        <w:t>依法对</w:t>
      </w:r>
      <w:r>
        <w:rPr>
          <w:rFonts w:hint="eastAsia" w:ascii="仿宋_GB2312" w:hAnsi="仿宋" w:eastAsia="仿宋_GB2312" w:cs="仿宋"/>
          <w:sz w:val="32"/>
          <w:szCs w:val="32"/>
        </w:rPr>
        <w:t>全旗性的重大刑事案件依法审查批准逮捕、提起公诉。依法对刑事诉讼、民事审判和行政诉讼实行法律监督工作。依法对执行机关执行刑罚的活动是否合法实行监督。对旗人民法院已经发生法律效力、确有错误的判决和裁定，依法提起抗诉。受理单位和个人的控告和申诉。负责对检察环节中社会治安综合治理工作的指导。负责检察机关的检验鉴定和复检工作。负责检察机关队伍建设和思想政治工作；依法管理检察官及其他检察人员的工作；规划和管理检察机关的财务装备工作。负责其他应当由杭锦旗人民检察院承办的事项</w:t>
      </w:r>
      <w:r>
        <w:rPr>
          <w:rFonts w:hint="eastAsia" w:eastAsia="仿宋_GB2312"/>
          <w:sz w:val="32"/>
          <w:szCs w:val="32"/>
        </w:rPr>
        <w:t>。</w:t>
      </w:r>
    </w:p>
    <w:p w14:paraId="5C0FEAA0">
      <w:pPr>
        <w:keepNext w:val="0"/>
        <w:keepLines w:val="0"/>
        <w:pageBreakBefore w:val="0"/>
        <w:kinsoku/>
        <w:wordWrap/>
        <w:overflowPunct/>
        <w:topLinePunct w:val="0"/>
        <w:autoSpaceDE/>
        <w:autoSpaceDN/>
        <w:bidi w:val="0"/>
        <w:snapToGrid w:val="0"/>
        <w:spacing w:beforeAutospacing="0" w:afterAutospacing="0" w:line="560" w:lineRule="exact"/>
        <w:ind w:firstLine="640"/>
        <w:textAlignment w:val="auto"/>
        <w:rPr>
          <w:rFonts w:hint="eastAsia" w:ascii="楷体_GB2312" w:eastAsia="楷体_GB2312"/>
          <w:sz w:val="32"/>
          <w:szCs w:val="32"/>
        </w:rPr>
      </w:pPr>
      <w:r>
        <w:rPr>
          <w:rFonts w:hint="eastAsia" w:ascii="楷体_GB2312" w:eastAsia="楷体_GB2312"/>
          <w:sz w:val="32"/>
          <w:szCs w:val="32"/>
        </w:rPr>
        <w:t>（二）部门主要职责</w:t>
      </w:r>
    </w:p>
    <w:p w14:paraId="17E16A0A">
      <w:pPr>
        <w:keepNext w:val="0"/>
        <w:keepLines w:val="0"/>
        <w:pageBreakBefore w:val="0"/>
        <w:kinsoku/>
        <w:wordWrap/>
        <w:overflowPunct/>
        <w:topLinePunct w:val="0"/>
        <w:autoSpaceDE/>
        <w:autoSpaceDN/>
        <w:bidi w:val="0"/>
        <w:spacing w:beforeAutospacing="0" w:afterAutospacing="0" w:line="560" w:lineRule="exact"/>
        <w:textAlignment w:val="auto"/>
        <w:rPr>
          <w:rFonts w:ascii="仿宋_GB2312" w:hAnsi="黑体" w:eastAsia="仿宋_GB2312"/>
          <w:sz w:val="32"/>
          <w:szCs w:val="32"/>
        </w:rPr>
      </w:pPr>
      <w:r>
        <w:rPr>
          <w:rFonts w:hint="eastAsia" w:ascii="仿宋_GB2312" w:hAnsi="黑体" w:eastAsia="仿宋_GB2312"/>
          <w:sz w:val="32"/>
          <w:szCs w:val="32"/>
        </w:rPr>
        <w:t xml:space="preserve">    主要职能部门具体职责是：</w:t>
      </w:r>
    </w:p>
    <w:p w14:paraId="16E3598B">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1.第一检察部。负责刑事案件的审查逮捕、审查起诉、补充侦查、出庭公诉、抗诉、复议、刑事申诉和立案监督、侦查监督、审判监督等工作。下设未成年人检察工作组。</w:t>
      </w:r>
    </w:p>
    <w:p w14:paraId="55EE0677">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第二检察部。负责民事、行政检察工作，公益诉讼工作（含涉及生态环境保护和资源保护、食品药品安全等公益诉讼保护领域的刑事检察工作）。</w:t>
      </w:r>
    </w:p>
    <w:p w14:paraId="22913D3C">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第三检察部。负责刑事执行检察工作。受理控告、举报、申诉，办理国家赔偿案件和国家司法救助案件。负责法律政策研究、检察委员会日常工作等。负责案件管理、人民监督员等工作。</w:t>
      </w:r>
    </w:p>
    <w:p w14:paraId="6E908C0E">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政治部。负责思想政治工作和组织人事工作。负责机关党建和群团工作，负责队伍建设、思想建设、文化建设、教育培训、离退休干部工作。负责检务督察工作。配合开展纪检监察工作。负责机关文电、会务、机要、档案、保密等工作。协助院领导处理检察政务，组织协调院重要工作部署、重大决策的贯彻实施。起草审核相关文件文稿，处理检察信息，编发内部刊物。负责人大代表联络工作和特约检察员联系工作。负责领导同志批办事项督查工作。负责协调管理新闻宣传工作。负责翻译工作。</w:t>
      </w:r>
    </w:p>
    <w:p w14:paraId="28525AD2">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办公室。负责国有资产、物资装备管理、后勤保障、政府采购和计划财务等工作。负责信息化建设和信息安全工作。负责检察技术等工作。</w:t>
      </w:r>
    </w:p>
    <w:p w14:paraId="57D7F951">
      <w:pPr>
        <w:keepNext w:val="0"/>
        <w:keepLines w:val="0"/>
        <w:pageBreakBefore w:val="0"/>
        <w:kinsoku/>
        <w:wordWrap/>
        <w:overflowPunct/>
        <w:topLinePunct w:val="0"/>
        <w:autoSpaceDE/>
        <w:autoSpaceDN/>
        <w:bidi w:val="0"/>
        <w:spacing w:beforeAutospacing="0" w:afterAutospacing="0" w:line="560" w:lineRule="exact"/>
        <w:ind w:firstLine="640" w:firstLineChars="200"/>
        <w:textAlignment w:val="auto"/>
        <w:rPr>
          <w:rFonts w:hint="eastAsia" w:ascii="黑体" w:hAnsi="黑体" w:eastAsia="黑体" w:cs="Times New Roman"/>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司法警察大队。负责办案场所警戒、人员押解和看管等警务事项。</w:t>
      </w:r>
    </w:p>
    <w:p w14:paraId="126F5E31">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黑体" w:hAnsi="黑体" w:eastAsia="黑体" w:cs="Times New Roman"/>
          <w:sz w:val="32"/>
          <w:szCs w:val="32"/>
        </w:rPr>
      </w:pPr>
      <w:r>
        <w:rPr>
          <w:rFonts w:hint="eastAsia" w:ascii="黑体" w:hAnsi="黑体" w:eastAsia="黑体" w:cs="Times New Roman"/>
          <w:sz w:val="32"/>
          <w:szCs w:val="32"/>
        </w:rPr>
        <w:t>二、部门机构设置及决算单位构成情况</w:t>
      </w:r>
    </w:p>
    <w:p w14:paraId="4DCC2976">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540" w:firstLineChars="200"/>
        <w:jc w:val="left"/>
        <w:textAlignment w:val="auto"/>
        <w:rPr>
          <w:rFonts w:hint="eastAsia" w:ascii="仿宋_GB2312" w:hAnsi="宋体" w:eastAsia="仿宋_GB2312" w:cs="宋体"/>
          <w:kern w:val="0"/>
          <w:sz w:val="32"/>
          <w:szCs w:val="32"/>
          <w:shd w:val="clear" w:fill="FFFFFF"/>
        </w:rPr>
      </w:pPr>
      <w:r>
        <w:rPr>
          <w:rFonts w:ascii="times_new_roman" w:hAnsi="times_new_roman" w:eastAsia="times_new_roman" w:cs="times_new_roman"/>
          <w:kern w:val="0"/>
          <w:sz w:val="27"/>
          <w:szCs w:val="27"/>
        </w:rPr>
        <w:t> </w:t>
      </w:r>
      <w:r>
        <w:rPr>
          <w:rFonts w:hint="eastAsia" w:ascii="仿宋_GB2312" w:hAnsi="宋体" w:eastAsia="仿宋_GB2312" w:cs="仿宋_GB2312"/>
          <w:kern w:val="0"/>
          <w:sz w:val="32"/>
          <w:szCs w:val="32"/>
        </w:rPr>
        <w:t>1.根据部门职责分工，</w:t>
      </w:r>
      <w:r>
        <w:rPr>
          <w:rFonts w:hint="eastAsia" w:ascii="仿宋_GB2312" w:hAnsi="宋体" w:eastAsia="仿宋_GB2312" w:cs="仿宋_GB2312"/>
          <w:kern w:val="0"/>
          <w:sz w:val="32"/>
          <w:szCs w:val="32"/>
          <w:shd w:val="clear" w:fill="FFFFFF"/>
        </w:rPr>
        <w:t>我院内设机构6个，下设二级事业单位1个（检务服务中心），内设机构包括</w:t>
      </w:r>
      <w:r>
        <w:rPr>
          <w:rFonts w:hint="eastAsia" w:ascii="仿宋_GB2312" w:hAnsi="宋体" w:eastAsia="仿宋_GB2312" w:cs="仿宋_GB2312"/>
          <w:kern w:val="0"/>
          <w:sz w:val="32"/>
          <w:szCs w:val="32"/>
        </w:rPr>
        <w:t>办公室、政治部、第一检察部、第二检察部、第三检察部、法警队。</w:t>
      </w:r>
      <w:r>
        <w:rPr>
          <w:rFonts w:hint="eastAsia" w:ascii="仿宋_GB2312" w:hAnsi="宋体" w:eastAsia="仿宋_GB2312" w:cs="仿宋_GB2312"/>
          <w:kern w:val="0"/>
          <w:sz w:val="32"/>
          <w:szCs w:val="32"/>
          <w:shd w:val="clear" w:fill="FFFFFF"/>
        </w:rPr>
        <w:t>我院无下属单位。</w:t>
      </w:r>
    </w:p>
    <w:p w14:paraId="36895D74">
      <w:pPr>
        <w:keepNext w:val="0"/>
        <w:keepLines w:val="0"/>
        <w:pageBreakBefore w:val="0"/>
        <w:widowControl/>
        <w:suppressLineNumbers w:val="0"/>
        <w:kinsoku/>
        <w:wordWrap/>
        <w:overflowPunct/>
        <w:topLinePunct w:val="0"/>
        <w:autoSpaceDE/>
        <w:autoSpaceDN/>
        <w:bidi w:val="0"/>
        <w:snapToGrid w:val="0"/>
        <w:spacing w:beforeAutospacing="0" w:afterAutospacing="0" w:line="560" w:lineRule="exact"/>
        <w:ind w:left="0" w:firstLine="640"/>
        <w:jc w:val="left"/>
        <w:textAlignment w:val="auto"/>
        <w:rPr>
          <w:rFonts w:hint="eastAsia"/>
        </w:rPr>
      </w:pPr>
      <w:r>
        <w:rPr>
          <w:rFonts w:hint="default" w:ascii="仿宋_GB2312" w:hAnsi="宋体" w:eastAsia="仿宋_GB2312" w:cs="仿宋_GB2312"/>
          <w:kern w:val="0"/>
          <w:sz w:val="32"/>
          <w:szCs w:val="32"/>
          <w:shd w:val="clear" w:fill="FFFFFF"/>
        </w:rPr>
        <w:t>2.</w:t>
      </w:r>
      <w:r>
        <w:rPr>
          <w:rFonts w:hint="eastAsia" w:ascii="仿宋_GB2312" w:hAnsi="宋体" w:eastAsia="仿宋_GB2312" w:cs="仿宋_GB2312"/>
          <w:kern w:val="0"/>
          <w:sz w:val="32"/>
          <w:szCs w:val="32"/>
          <w:shd w:val="clear" w:fill="FFFFFF"/>
        </w:rPr>
        <w:t>从决算单位构成看，纳入本部门202</w:t>
      </w:r>
      <w:r>
        <w:rPr>
          <w:rFonts w:hint="eastAsia" w:ascii="仿宋_GB2312" w:hAnsi="宋体" w:eastAsia="仿宋_GB2312" w:cs="仿宋_GB2312"/>
          <w:kern w:val="0"/>
          <w:sz w:val="32"/>
          <w:szCs w:val="32"/>
          <w:shd w:val="clear" w:fill="FFFFFF"/>
          <w:lang w:val="en-US" w:eastAsia="zh-CN"/>
        </w:rPr>
        <w:t>3</w:t>
      </w:r>
      <w:r>
        <w:rPr>
          <w:rFonts w:hint="eastAsia" w:ascii="仿宋_GB2312" w:hAnsi="宋体" w:eastAsia="仿宋_GB2312" w:cs="仿宋_GB2312"/>
          <w:kern w:val="0"/>
          <w:sz w:val="32"/>
          <w:szCs w:val="32"/>
          <w:shd w:val="clear" w:fill="FFFFFF"/>
        </w:rPr>
        <w:t>年部门汇总决算编制范围的预算单位共计1家，具体包括：杭锦旗人民检察院部门本级。详细情况见表：</w:t>
      </w:r>
    </w:p>
    <w:tbl>
      <w:tblPr>
        <w:tblStyle w:val="22"/>
        <w:tblpPr w:leftFromText="180" w:rightFromText="180" w:vertAnchor="text" w:horzAnchor="page" w:tblpX="1947" w:tblpY="369"/>
        <w:tblOverlap w:val="never"/>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890"/>
        <w:gridCol w:w="3032"/>
        <w:gridCol w:w="4600"/>
      </w:tblGrid>
      <w:tr w14:paraId="290CE61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c>
          <w:tcPr>
            <w:tcW w:w="89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top"/>
          </w:tcPr>
          <w:p w14:paraId="40C95907">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right="0"/>
              <w:textAlignment w:val="auto"/>
              <w:rPr>
                <w:rFonts w:hint="eastAsia" w:ascii="宋体" w:hAnsi="宋体" w:eastAsia="宋体" w:cs="宋体"/>
                <w:kern w:val="0"/>
                <w:sz w:val="24"/>
                <w:szCs w:val="24"/>
              </w:rPr>
            </w:pPr>
            <w:r>
              <w:rPr>
                <w:rFonts w:hint="eastAsia" w:ascii="宋体" w:hAnsi="宋体" w:eastAsia="宋体" w:cs="宋体"/>
                <w:kern w:val="0"/>
                <w:sz w:val="31"/>
                <w:szCs w:val="31"/>
              </w:rPr>
              <w:t>序号</w:t>
            </w:r>
          </w:p>
        </w:tc>
        <w:tc>
          <w:tcPr>
            <w:tcW w:w="3032"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14:paraId="775DA6CA">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right="0"/>
              <w:jc w:val="center"/>
              <w:textAlignment w:val="auto"/>
              <w:rPr>
                <w:rFonts w:hint="eastAsia" w:ascii="宋体" w:hAnsi="宋体" w:eastAsia="宋体" w:cs="宋体"/>
                <w:kern w:val="0"/>
                <w:sz w:val="24"/>
                <w:szCs w:val="24"/>
              </w:rPr>
            </w:pPr>
            <w:r>
              <w:rPr>
                <w:rFonts w:hint="eastAsia" w:ascii="宋体" w:hAnsi="宋体" w:eastAsia="宋体" w:cs="宋体"/>
                <w:kern w:val="0"/>
                <w:sz w:val="31"/>
                <w:szCs w:val="31"/>
              </w:rPr>
              <w:t>单位名称</w:t>
            </w:r>
          </w:p>
        </w:tc>
        <w:tc>
          <w:tcPr>
            <w:tcW w:w="4600" w:type="dxa"/>
            <w:tcBorders>
              <w:top w:val="single" w:color="auto" w:sz="8" w:space="0"/>
              <w:left w:val="nil"/>
              <w:bottom w:val="single" w:color="auto" w:sz="8" w:space="0"/>
              <w:right w:val="single" w:color="auto" w:sz="8" w:space="0"/>
            </w:tcBorders>
            <w:shd w:val="clear" w:color="auto" w:fill="auto"/>
            <w:tcMar>
              <w:left w:w="108" w:type="dxa"/>
              <w:right w:w="108" w:type="dxa"/>
            </w:tcMar>
            <w:vAlign w:val="top"/>
          </w:tcPr>
          <w:p w14:paraId="419A4EB3">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right="0"/>
              <w:jc w:val="center"/>
              <w:textAlignment w:val="auto"/>
              <w:rPr>
                <w:rFonts w:hint="eastAsia" w:ascii="宋体" w:hAnsi="宋体" w:eastAsia="宋体" w:cs="宋体"/>
                <w:kern w:val="0"/>
                <w:sz w:val="24"/>
                <w:szCs w:val="24"/>
              </w:rPr>
            </w:pPr>
            <w:r>
              <w:rPr>
                <w:rFonts w:hint="eastAsia" w:ascii="宋体" w:hAnsi="宋体" w:eastAsia="宋体" w:cs="宋体"/>
                <w:kern w:val="0"/>
                <w:sz w:val="31"/>
                <w:szCs w:val="31"/>
              </w:rPr>
              <w:t>单位性质</w:t>
            </w:r>
          </w:p>
        </w:tc>
      </w:tr>
      <w:tr w14:paraId="0D3F6C8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89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14:paraId="02724107">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right="0"/>
              <w:jc w:val="center"/>
              <w:textAlignment w:val="auto"/>
              <w:rPr>
                <w:rFonts w:hint="eastAsia" w:ascii="宋体" w:hAnsi="宋体" w:eastAsia="宋体" w:cs="宋体"/>
                <w:kern w:val="0"/>
                <w:sz w:val="24"/>
                <w:szCs w:val="24"/>
              </w:rPr>
            </w:pPr>
            <w:r>
              <w:rPr>
                <w:rFonts w:hint="default" w:ascii="Times New Roman" w:hAnsi="Times New Roman" w:eastAsia="宋体" w:cs="Times New Roman"/>
                <w:kern w:val="0"/>
                <w:sz w:val="31"/>
                <w:szCs w:val="31"/>
              </w:rPr>
              <w:t>1</w:t>
            </w:r>
          </w:p>
        </w:tc>
        <w:tc>
          <w:tcPr>
            <w:tcW w:w="3032" w:type="dxa"/>
            <w:tcBorders>
              <w:top w:val="nil"/>
              <w:left w:val="nil"/>
              <w:bottom w:val="single" w:color="auto" w:sz="8" w:space="0"/>
              <w:right w:val="single" w:color="auto" w:sz="8" w:space="0"/>
            </w:tcBorders>
            <w:shd w:val="clear" w:color="auto" w:fill="auto"/>
            <w:tcMar>
              <w:left w:w="108" w:type="dxa"/>
              <w:right w:w="108" w:type="dxa"/>
            </w:tcMar>
            <w:vAlign w:val="top"/>
          </w:tcPr>
          <w:p w14:paraId="196B5775">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right="0"/>
              <w:textAlignment w:val="auto"/>
              <w:rPr>
                <w:rFonts w:hint="eastAsia" w:ascii="宋体" w:hAnsi="宋体" w:eastAsia="宋体" w:cs="宋体"/>
                <w:kern w:val="0"/>
                <w:sz w:val="24"/>
                <w:szCs w:val="24"/>
              </w:rPr>
            </w:pPr>
            <w:r>
              <w:rPr>
                <w:rFonts w:hint="eastAsia" w:ascii="宋体" w:hAnsi="宋体" w:eastAsia="宋体" w:cs="宋体"/>
                <w:kern w:val="0"/>
                <w:sz w:val="31"/>
                <w:szCs w:val="31"/>
              </w:rPr>
              <w:t>杭锦旗人民检察院</w:t>
            </w:r>
          </w:p>
        </w:tc>
        <w:tc>
          <w:tcPr>
            <w:tcW w:w="4600" w:type="dxa"/>
            <w:tcBorders>
              <w:top w:val="nil"/>
              <w:left w:val="nil"/>
              <w:bottom w:val="single" w:color="auto" w:sz="8" w:space="0"/>
              <w:right w:val="single" w:color="auto" w:sz="8" w:space="0"/>
            </w:tcBorders>
            <w:shd w:val="clear" w:color="auto" w:fill="auto"/>
            <w:tcMar>
              <w:left w:w="108" w:type="dxa"/>
              <w:right w:w="108" w:type="dxa"/>
            </w:tcMar>
            <w:vAlign w:val="top"/>
          </w:tcPr>
          <w:p w14:paraId="6A0CF637">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right="0"/>
              <w:textAlignment w:val="auto"/>
              <w:rPr>
                <w:rFonts w:hint="eastAsia" w:ascii="宋体" w:hAnsi="宋体" w:eastAsia="宋体" w:cs="宋体"/>
                <w:kern w:val="0"/>
                <w:sz w:val="24"/>
                <w:szCs w:val="24"/>
              </w:rPr>
            </w:pPr>
            <w:r>
              <w:rPr>
                <w:rFonts w:hint="eastAsia" w:ascii="宋体" w:hAnsi="宋体" w:eastAsia="宋体" w:cs="宋体"/>
                <w:kern w:val="0"/>
                <w:sz w:val="31"/>
                <w:szCs w:val="31"/>
              </w:rPr>
              <w:t>财政拨款的行政单位</w:t>
            </w:r>
          </w:p>
        </w:tc>
      </w:tr>
      <w:tr w14:paraId="1E7944C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89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14:paraId="10B990A7">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right="0"/>
              <w:jc w:val="center"/>
              <w:textAlignment w:val="auto"/>
              <w:rPr>
                <w:rFonts w:hint="eastAsia" w:ascii="宋体" w:hAnsi="宋体" w:eastAsia="宋体" w:cs="宋体"/>
                <w:kern w:val="0"/>
                <w:sz w:val="24"/>
                <w:szCs w:val="24"/>
              </w:rPr>
            </w:pPr>
            <w:r>
              <w:rPr>
                <w:rFonts w:hint="default" w:ascii="Times New Roman" w:hAnsi="Times New Roman" w:eastAsia="宋体" w:cs="Times New Roman"/>
                <w:kern w:val="0"/>
                <w:sz w:val="31"/>
                <w:szCs w:val="31"/>
              </w:rPr>
              <w:t>2</w:t>
            </w:r>
          </w:p>
        </w:tc>
        <w:tc>
          <w:tcPr>
            <w:tcW w:w="3032" w:type="dxa"/>
            <w:tcBorders>
              <w:top w:val="nil"/>
              <w:left w:val="nil"/>
              <w:bottom w:val="single" w:color="auto" w:sz="8" w:space="0"/>
              <w:right w:val="single" w:color="auto" w:sz="8" w:space="0"/>
            </w:tcBorders>
            <w:shd w:val="clear" w:color="auto" w:fill="auto"/>
            <w:tcMar>
              <w:left w:w="108" w:type="dxa"/>
              <w:right w:w="108" w:type="dxa"/>
            </w:tcMar>
            <w:vAlign w:val="top"/>
          </w:tcPr>
          <w:p w14:paraId="03F22EF8">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right="0"/>
              <w:textAlignment w:val="auto"/>
              <w:rPr>
                <w:rFonts w:hint="eastAsia" w:ascii="宋体" w:hAnsi="宋体" w:eastAsia="宋体" w:cs="宋体"/>
                <w:kern w:val="0"/>
                <w:sz w:val="24"/>
                <w:szCs w:val="24"/>
              </w:rPr>
            </w:pPr>
          </w:p>
        </w:tc>
        <w:tc>
          <w:tcPr>
            <w:tcW w:w="4600" w:type="dxa"/>
            <w:tcBorders>
              <w:top w:val="nil"/>
              <w:left w:val="nil"/>
              <w:bottom w:val="single" w:color="auto" w:sz="8" w:space="0"/>
              <w:right w:val="single" w:color="auto" w:sz="8" w:space="0"/>
            </w:tcBorders>
            <w:shd w:val="clear" w:color="auto" w:fill="auto"/>
            <w:tcMar>
              <w:left w:w="108" w:type="dxa"/>
              <w:right w:w="108" w:type="dxa"/>
            </w:tcMar>
            <w:vAlign w:val="top"/>
          </w:tcPr>
          <w:p w14:paraId="798059CA">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right="0"/>
              <w:textAlignment w:val="auto"/>
              <w:rPr>
                <w:rFonts w:hint="eastAsia" w:ascii="宋体" w:hAnsi="宋体" w:eastAsia="宋体" w:cs="宋体"/>
                <w:kern w:val="0"/>
                <w:sz w:val="24"/>
                <w:szCs w:val="24"/>
              </w:rPr>
            </w:pPr>
          </w:p>
        </w:tc>
      </w:tr>
      <w:tr w14:paraId="5EFA16F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89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14:paraId="6B2F1288">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right="0"/>
              <w:jc w:val="center"/>
              <w:textAlignment w:val="auto"/>
              <w:rPr>
                <w:rFonts w:hint="eastAsia" w:ascii="宋体" w:hAnsi="宋体" w:eastAsia="宋体" w:cs="宋体"/>
                <w:kern w:val="0"/>
                <w:sz w:val="24"/>
                <w:szCs w:val="24"/>
              </w:rPr>
            </w:pPr>
            <w:r>
              <w:rPr>
                <w:rFonts w:hint="default" w:ascii="Times New Roman" w:hAnsi="Times New Roman" w:eastAsia="宋体" w:cs="Times New Roman"/>
                <w:kern w:val="0"/>
                <w:sz w:val="31"/>
                <w:szCs w:val="31"/>
              </w:rPr>
              <w:t>3</w:t>
            </w:r>
          </w:p>
        </w:tc>
        <w:tc>
          <w:tcPr>
            <w:tcW w:w="3032" w:type="dxa"/>
            <w:tcBorders>
              <w:top w:val="nil"/>
              <w:left w:val="nil"/>
              <w:bottom w:val="single" w:color="auto" w:sz="8" w:space="0"/>
              <w:right w:val="single" w:color="auto" w:sz="8" w:space="0"/>
            </w:tcBorders>
            <w:shd w:val="clear" w:color="auto" w:fill="auto"/>
            <w:tcMar>
              <w:left w:w="108" w:type="dxa"/>
              <w:right w:w="108" w:type="dxa"/>
            </w:tcMar>
            <w:vAlign w:val="top"/>
          </w:tcPr>
          <w:p w14:paraId="025D8850">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right="0"/>
              <w:textAlignment w:val="auto"/>
              <w:rPr>
                <w:rFonts w:hint="eastAsia" w:ascii="宋体" w:hAnsi="宋体" w:eastAsia="宋体" w:cs="宋体"/>
                <w:kern w:val="0"/>
                <w:sz w:val="24"/>
                <w:szCs w:val="24"/>
              </w:rPr>
            </w:pPr>
          </w:p>
        </w:tc>
        <w:tc>
          <w:tcPr>
            <w:tcW w:w="4600" w:type="dxa"/>
            <w:tcBorders>
              <w:top w:val="nil"/>
              <w:left w:val="nil"/>
              <w:bottom w:val="single" w:color="auto" w:sz="8" w:space="0"/>
              <w:right w:val="single" w:color="auto" w:sz="8" w:space="0"/>
            </w:tcBorders>
            <w:shd w:val="clear" w:color="auto" w:fill="auto"/>
            <w:tcMar>
              <w:left w:w="108" w:type="dxa"/>
              <w:right w:w="108" w:type="dxa"/>
            </w:tcMar>
            <w:vAlign w:val="top"/>
          </w:tcPr>
          <w:p w14:paraId="77F4F43D">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right="0"/>
              <w:textAlignment w:val="auto"/>
              <w:rPr>
                <w:rFonts w:hint="eastAsia" w:ascii="宋体" w:hAnsi="宋体" w:eastAsia="宋体" w:cs="宋体"/>
                <w:kern w:val="0"/>
                <w:sz w:val="24"/>
                <w:szCs w:val="24"/>
              </w:rPr>
            </w:pPr>
          </w:p>
        </w:tc>
      </w:tr>
      <w:tr w14:paraId="035D332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c>
          <w:tcPr>
            <w:tcW w:w="890" w:type="dxa"/>
            <w:tcBorders>
              <w:top w:val="nil"/>
              <w:left w:val="single" w:color="auto" w:sz="8" w:space="0"/>
              <w:bottom w:val="single" w:color="auto" w:sz="8" w:space="0"/>
              <w:right w:val="single" w:color="auto" w:sz="8" w:space="0"/>
            </w:tcBorders>
            <w:shd w:val="clear" w:color="auto" w:fill="auto"/>
            <w:tcMar>
              <w:left w:w="108" w:type="dxa"/>
              <w:right w:w="108" w:type="dxa"/>
            </w:tcMar>
            <w:vAlign w:val="top"/>
          </w:tcPr>
          <w:p w14:paraId="2354C9E1">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right="0"/>
              <w:jc w:val="center"/>
              <w:textAlignment w:val="auto"/>
              <w:rPr>
                <w:rFonts w:hint="eastAsia" w:ascii="宋体" w:hAnsi="宋体" w:eastAsia="宋体" w:cs="宋体"/>
                <w:kern w:val="0"/>
                <w:sz w:val="24"/>
                <w:szCs w:val="24"/>
              </w:rPr>
            </w:pPr>
            <w:r>
              <w:rPr>
                <w:rFonts w:hint="default" w:ascii="Times New Roman" w:hAnsi="Times New Roman" w:eastAsia="宋体" w:cs="Times New Roman"/>
                <w:kern w:val="0"/>
                <w:sz w:val="31"/>
                <w:szCs w:val="31"/>
              </w:rPr>
              <w:t>4</w:t>
            </w:r>
          </w:p>
        </w:tc>
        <w:tc>
          <w:tcPr>
            <w:tcW w:w="3032" w:type="dxa"/>
            <w:tcBorders>
              <w:top w:val="nil"/>
              <w:left w:val="nil"/>
              <w:bottom w:val="single" w:color="auto" w:sz="8" w:space="0"/>
              <w:right w:val="single" w:color="auto" w:sz="8" w:space="0"/>
            </w:tcBorders>
            <w:shd w:val="clear" w:color="auto" w:fill="auto"/>
            <w:tcMar>
              <w:left w:w="108" w:type="dxa"/>
              <w:right w:w="108" w:type="dxa"/>
            </w:tcMar>
            <w:vAlign w:val="top"/>
          </w:tcPr>
          <w:p w14:paraId="0718C95F">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right="0"/>
              <w:textAlignment w:val="auto"/>
              <w:rPr>
                <w:rFonts w:hint="eastAsia" w:ascii="宋体" w:hAnsi="宋体" w:eastAsia="宋体" w:cs="宋体"/>
                <w:kern w:val="0"/>
                <w:sz w:val="24"/>
                <w:szCs w:val="24"/>
              </w:rPr>
            </w:pPr>
          </w:p>
        </w:tc>
        <w:tc>
          <w:tcPr>
            <w:tcW w:w="4600" w:type="dxa"/>
            <w:tcBorders>
              <w:top w:val="nil"/>
              <w:left w:val="nil"/>
              <w:bottom w:val="single" w:color="auto" w:sz="8" w:space="0"/>
              <w:right w:val="single" w:color="auto" w:sz="8" w:space="0"/>
            </w:tcBorders>
            <w:shd w:val="clear" w:color="auto" w:fill="auto"/>
            <w:tcMar>
              <w:left w:w="108" w:type="dxa"/>
              <w:right w:w="108" w:type="dxa"/>
            </w:tcMar>
            <w:vAlign w:val="top"/>
          </w:tcPr>
          <w:p w14:paraId="61E7335A">
            <w:pPr>
              <w:keepNext w:val="0"/>
              <w:keepLines w:val="0"/>
              <w:pageBreakBefore w:val="0"/>
              <w:widowControl/>
              <w:suppressLineNumbers w:val="0"/>
              <w:kinsoku/>
              <w:wordWrap/>
              <w:overflowPunct/>
              <w:topLinePunct w:val="0"/>
              <w:autoSpaceDE/>
              <w:autoSpaceDN/>
              <w:bidi w:val="0"/>
              <w:spacing w:beforeAutospacing="0" w:afterAutospacing="0" w:line="560" w:lineRule="exact"/>
              <w:ind w:left="0" w:right="0"/>
              <w:textAlignment w:val="auto"/>
              <w:rPr>
                <w:rFonts w:hint="eastAsia" w:ascii="宋体" w:hAnsi="宋体" w:eastAsia="宋体" w:cs="宋体"/>
                <w:kern w:val="0"/>
                <w:sz w:val="24"/>
                <w:szCs w:val="24"/>
              </w:rPr>
            </w:pPr>
          </w:p>
        </w:tc>
      </w:tr>
    </w:tbl>
    <w:p w14:paraId="64B73A56">
      <w:pPr>
        <w:keepNext w:val="0"/>
        <w:keepLines w:val="0"/>
        <w:pageBreakBefore w:val="0"/>
        <w:widowControl/>
        <w:kinsoku/>
        <w:wordWrap/>
        <w:overflowPunct/>
        <w:topLinePunct w:val="0"/>
        <w:autoSpaceDE/>
        <w:autoSpaceDN/>
        <w:bidi w:val="0"/>
        <w:spacing w:beforeAutospacing="0" w:afterAutospacing="0" w:line="560" w:lineRule="exact"/>
        <w:jc w:val="left"/>
        <w:textAlignment w:val="auto"/>
        <w:rPr>
          <w:rFonts w:ascii="Calibri" w:hAnsi="Calibri" w:eastAsia="Calibri" w:cs="Calibri"/>
          <w:b/>
          <w:bCs/>
          <w:kern w:val="0"/>
          <w:sz w:val="27"/>
          <w:szCs w:val="27"/>
        </w:rPr>
      </w:pPr>
    </w:p>
    <w:p w14:paraId="65E17368">
      <w:pPr>
        <w:keepNext w:val="0"/>
        <w:keepLines w:val="0"/>
        <w:pageBreakBefore w:val="0"/>
        <w:widowControl/>
        <w:kinsoku/>
        <w:wordWrap/>
        <w:overflowPunct/>
        <w:topLinePunct w:val="0"/>
        <w:autoSpaceDE/>
        <w:autoSpaceDN/>
        <w:bidi w:val="0"/>
        <w:spacing w:beforeAutospacing="0" w:afterAutospacing="0" w:line="560" w:lineRule="exact"/>
        <w:jc w:val="left"/>
        <w:textAlignment w:val="auto"/>
        <w:rPr>
          <w:rFonts w:hint="eastAsia" w:ascii="黑体" w:hAnsi="黑体" w:eastAsia="黑体" w:cs="Times New Roman"/>
          <w:sz w:val="32"/>
          <w:szCs w:val="32"/>
        </w:rPr>
      </w:pPr>
      <w:r>
        <w:rPr>
          <w:rFonts w:ascii="Calibri" w:hAnsi="Calibri" w:eastAsia="Calibri" w:cs="Calibri"/>
          <w:b/>
          <w:bCs/>
          <w:kern w:val="0"/>
          <w:sz w:val="27"/>
          <w:szCs w:val="27"/>
        </w:rPr>
        <w:t> </w:t>
      </w:r>
      <w:r>
        <w:rPr>
          <w:rFonts w:hint="eastAsia" w:ascii="Calibri" w:hAnsi="Calibri" w:cs="Calibri"/>
          <w:b/>
          <w:bCs/>
          <w:kern w:val="0"/>
          <w:sz w:val="27"/>
          <w:szCs w:val="27"/>
          <w:lang w:val="en-US" w:eastAsia="zh-CN"/>
        </w:rPr>
        <w:t xml:space="preserve">    </w:t>
      </w:r>
      <w:r>
        <w:rPr>
          <w:rFonts w:hint="eastAsia" w:ascii="黑体" w:hAnsi="黑体" w:eastAsia="黑体" w:cs="Times New Roman"/>
          <w:sz w:val="32"/>
          <w:szCs w:val="32"/>
        </w:rPr>
        <w:t>三、2023年度部门主要工作完成情况</w:t>
      </w:r>
    </w:p>
    <w:p w14:paraId="0592074C">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firstLine="640" w:firstLineChars="200"/>
        <w:textAlignment w:val="auto"/>
        <w:rPr>
          <w:rFonts w:hint="default" w:ascii="Times New Roman" w:hAnsi="Times New Roman" w:cs="Times New Roman" w:eastAsiaTheme="minorEastAsia"/>
          <w:lang w:val="en-US" w:eastAsia="zh-CN"/>
        </w:rPr>
      </w:pPr>
      <w:r>
        <w:rPr>
          <w:rFonts w:hint="default" w:ascii="Times New Roman" w:hAnsi="Times New Roman" w:eastAsia="仿宋_GB2312" w:cs="Times New Roman"/>
          <w:b w:val="0"/>
          <w:bCs w:val="0"/>
          <w:i w:val="0"/>
          <w:caps w:val="0"/>
          <w:color w:val="auto"/>
          <w:spacing w:val="0"/>
          <w:w w:val="100"/>
          <w:sz w:val="32"/>
          <w:szCs w:val="32"/>
          <w:lang w:val="en-US" w:eastAsia="zh-CN"/>
        </w:rPr>
        <w:t>今年以来，</w:t>
      </w:r>
      <w:r>
        <w:rPr>
          <w:rFonts w:hint="default" w:ascii="Times New Roman" w:hAnsi="Times New Roman" w:eastAsia="仿宋_GB2312" w:cs="Times New Roman"/>
          <w:b w:val="0"/>
          <w:bCs w:val="0"/>
          <w:color w:val="auto"/>
          <w:kern w:val="2"/>
          <w:sz w:val="32"/>
          <w:szCs w:val="32"/>
          <w:lang w:val="en-US" w:eastAsia="zh-CN" w:bidi="ar-SA"/>
        </w:rPr>
        <w:t>杭锦旗人民检察院以习近平新时代中国特色社会主义思想为指导，认真贯彻落实党中央、自治区党委、市委、旗委决策部署和各级政法工作会议、检察长会议精神，坚持为大局服务、为人民司法，强化法律监督职责，不断强化队伍建设，推动各项检察工作持续健康发展。</w:t>
      </w:r>
      <w:r>
        <w:rPr>
          <w:rFonts w:hint="default" w:ascii="Times New Roman" w:hAnsi="Times New Roman" w:eastAsia="仿宋_GB2312" w:cs="Times New Roman"/>
          <w:b w:val="0"/>
          <w:bCs w:val="0"/>
          <w:color w:val="auto"/>
          <w:sz w:val="32"/>
          <w:szCs w:val="32"/>
          <w:lang w:val="en-US" w:eastAsia="zh-CN"/>
        </w:rPr>
        <w:t>先后荣获全国检察机关大数据法律监督模型评选活动三等奖、全区检察机关大数据法律监督模型评选活动三等奖、全区检察机关信息工作表现突出集体、全市先进基层检察院、鄂尔多斯市“无废机关”、全旗科级领导班子综合考评优秀单位</w:t>
      </w:r>
      <w:r>
        <w:rPr>
          <w:rFonts w:hint="default" w:ascii="Times New Roman" w:hAnsi="Times New Roman" w:eastAsia="仿宋_GB2312" w:cs="Times New Roman"/>
          <w:b w:val="0"/>
          <w:bCs w:val="0"/>
          <w:color w:val="auto"/>
          <w:sz w:val="32"/>
          <w:szCs w:val="32"/>
          <w:lang w:eastAsia="zh-CN"/>
        </w:rPr>
        <w:t>等多项荣誉。</w:t>
      </w:r>
    </w:p>
    <w:p w14:paraId="1D975848">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kern w:val="2"/>
          <w:sz w:val="32"/>
          <w:szCs w:val="32"/>
          <w:lang w:val="en-US" w:eastAsia="zh-CN" w:bidi="ar-SA"/>
        </w:rPr>
        <w:t> 1.深耕主责主业，以更高标准强化法律监督。一是刑事检察质效提升。</w:t>
      </w:r>
      <w:r>
        <w:rPr>
          <w:rFonts w:hint="default" w:ascii="Times New Roman" w:hAnsi="Times New Roman" w:eastAsia="仿宋_GB2312" w:cs="Times New Roman"/>
          <w:b w:val="0"/>
          <w:bCs w:val="0"/>
          <w:color w:val="auto"/>
          <w:sz w:val="32"/>
          <w:szCs w:val="32"/>
          <w:lang w:val="en-US" w:eastAsia="zh-CN"/>
        </w:rPr>
        <w:t>共受理审查逮捕案件57件92人，审查起诉案241件320人，刑事“案-件比”1：1.04。办理刑事监督立案案件4件，刑事监督撤案7件。认真落实认罪认罚从宽制度，在刑事案件中提出适用认罪认罚从宽制度229人，提出确定型量刑建议的有167人，法院全部采纳。认真落实认罪认罚从宽制度，建立危险驾驶、交通肇事犯罪案件的“轻罪快办”办案团队，繁简分流，优化司法力量配置。牵头出台《杭锦旗关于拟相对不起诉轻罪案件犯罪嫌疑人参加社会公益服务管理工作办法》，探索轻罪案件“相对不起诉+社会公益服务”办案新模式。制发检察建议13件，纠正违法49件，暂予监外执行审查3件，收监执行审查1件。二是民事和行政检察力度增强。共受理各类民事检察监督案件共50件，提出检察建议50件，均采纳。依托“农牧民夜校法律宣讲”平台，走进农牧区讲解实用的法律知识，打通普法宣传“最后一公里”。办理各类行政诉讼监督案件24件。</w:t>
      </w:r>
      <w:r>
        <w:rPr>
          <w:rFonts w:hint="default" w:ascii="Times New Roman" w:hAnsi="Times New Roman" w:eastAsia="仿宋_GB2312" w:cs="Times New Roman"/>
          <w:b w:val="0"/>
          <w:bCs w:val="0"/>
          <w:color w:val="auto"/>
          <w:sz w:val="32"/>
          <w:szCs w:val="32"/>
          <w:highlight w:val="none"/>
          <w:lang w:val="en-US" w:eastAsia="zh-CN"/>
        </w:rPr>
        <w:t>搭建人民法院不当适用简易程序监督模型，结合运用“三查融合”手段，筛查出不当适用简易程序线索534件，问题案件114件，制发类案检察建议11份，法院均采纳。</w:t>
      </w:r>
      <w:r>
        <w:rPr>
          <w:rFonts w:hint="default" w:ascii="Times New Roman" w:hAnsi="Times New Roman" w:eastAsia="仿宋_GB2312" w:cs="Times New Roman"/>
          <w:b w:val="0"/>
          <w:bCs w:val="0"/>
          <w:color w:val="auto"/>
          <w:sz w:val="32"/>
          <w:szCs w:val="32"/>
          <w:lang w:val="en-US" w:eastAsia="zh-CN"/>
        </w:rPr>
        <w:t>围绕黄灌工程垃圾堆放、违规领取城乡居民养老保险等问题发出社会治理类检察建议5件，听证2次，均采纳。办理行政审判程序中违法行为监督案件和行政非诉执行案件6件。开展社会保障领域护航民生民利专项活动，针对养老金发放监管漏洞发出检察建议1件，案件办理过程中，成功追回5000余元国有财产。联合旗公安局、旗人民法院、旗人力资源和社会保障局出台《建立基本养老保险金监管协作配合工作机制》，确保基本养老金依法依规管理。强化府院联动机制，与6个苏木镇人民政府分别召开联席会议，会签了《关于建立民事、行政和公益诉讼协作配合工作机制》，主动延伸检察触角。三是稳妥推进公益诉讼检察监督。</w:t>
      </w:r>
      <w:r>
        <w:rPr>
          <w:rFonts w:hint="default" w:ascii="Times New Roman" w:hAnsi="Times New Roman" w:eastAsia="仿宋_GB2312" w:cs="Times New Roman"/>
          <w:b w:val="0"/>
          <w:bCs w:val="0"/>
          <w:color w:val="auto"/>
          <w:sz w:val="32"/>
          <w:szCs w:val="32"/>
          <w:highlight w:val="none"/>
          <w:lang w:val="en-US" w:eastAsia="zh-CN"/>
        </w:rPr>
        <w:t>持续提升公益诉讼办案质效，共摸排线索62件，立案61件，公开听证案件7件。</w:t>
      </w:r>
      <w:r>
        <w:rPr>
          <w:rFonts w:hint="default" w:ascii="Times New Roman" w:hAnsi="Times New Roman" w:eastAsia="仿宋_GB2312" w:cs="Times New Roman"/>
          <w:b w:val="0"/>
          <w:bCs w:val="0"/>
          <w:color w:val="auto"/>
          <w:sz w:val="32"/>
          <w:szCs w:val="32"/>
          <w:lang w:val="en-US" w:eastAsia="zh-CN"/>
        </w:rPr>
        <w:t>依法履行公益诉讼检察职能，开展医疗美容领域专项监督活动、农用地保护监督活动、农村人居环境整治专项监督活动、食品药品领域监督活动、国有财产、国有土地出让领域监督活动、军人烈士领域公益诉讼工作，积极回应人民群众关切。</w:t>
      </w:r>
    </w:p>
    <w:p w14:paraId="260C74E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default" w:ascii="Times New Roman" w:hAnsi="Times New Roman" w:eastAsia="仿宋_GB2312" w:cs="Times New Roman"/>
          <w:b w:val="0"/>
          <w:bCs w:val="0"/>
          <w:color w:val="auto"/>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2.围绕中心服务大局，以更优履职助推高质量发展。</w:t>
      </w:r>
      <w:r>
        <w:rPr>
          <w:rFonts w:hint="default" w:ascii="Times New Roman" w:hAnsi="Times New Roman" w:eastAsia="仿宋_GB2312" w:cs="Times New Roman"/>
          <w:b w:val="0"/>
          <w:bCs w:val="0"/>
          <w:color w:val="auto"/>
          <w:kern w:val="2"/>
          <w:sz w:val="32"/>
          <w:szCs w:val="32"/>
          <w:highlight w:val="none"/>
          <w:lang w:val="en-US" w:eastAsia="zh-CN" w:bidi="ar-SA"/>
        </w:rPr>
        <w:t>一是持续优化法治化营商环境。与旗非公党工委、旗工商联共同开发</w:t>
      </w:r>
      <w:r>
        <w:rPr>
          <w:rFonts w:hint="default" w:ascii="Times New Roman" w:hAnsi="Times New Roman" w:eastAsia="仿宋_GB2312" w:cs="Times New Roman"/>
          <w:b w:val="0"/>
          <w:bCs w:val="0"/>
          <w:color w:val="auto"/>
          <w:sz w:val="32"/>
          <w:szCs w:val="32"/>
          <w:lang w:val="en-US" w:eastAsia="zh-CN"/>
        </w:rPr>
        <w:t>小程序，畅通</w:t>
      </w:r>
      <w:r>
        <w:rPr>
          <w:rFonts w:hint="default" w:ascii="Times New Roman" w:hAnsi="Times New Roman" w:eastAsia="仿宋_GB2312" w:cs="Times New Roman"/>
          <w:b w:val="0"/>
          <w:bCs w:val="0"/>
          <w:color w:val="auto"/>
          <w:sz w:val="32"/>
          <w:szCs w:val="32"/>
        </w:rPr>
        <w:t>检企沟通和收集问题渠道</w:t>
      </w:r>
      <w:r>
        <w:rPr>
          <w:rFonts w:hint="default" w:ascii="Times New Roman" w:hAnsi="Times New Roman" w:eastAsia="仿宋_GB2312" w:cs="Times New Roman"/>
          <w:b w:val="0"/>
          <w:bCs w:val="0"/>
          <w:color w:val="auto"/>
          <w:sz w:val="32"/>
          <w:szCs w:val="32"/>
          <w:lang w:eastAsia="zh-CN"/>
        </w:rPr>
        <w:t>，成立“离退休检察官服务企业工作室”，</w:t>
      </w:r>
      <w:r>
        <w:rPr>
          <w:rFonts w:hint="default" w:ascii="Times New Roman" w:hAnsi="Times New Roman" w:eastAsia="仿宋_GB2312" w:cs="Times New Roman"/>
          <w:b w:val="0"/>
          <w:bCs w:val="0"/>
          <w:color w:val="auto"/>
          <w:sz w:val="32"/>
          <w:szCs w:val="32"/>
          <w:lang w:val="en-US" w:eastAsia="zh-CN"/>
        </w:rPr>
        <w:t>在伊泰</w:t>
      </w:r>
      <w:r>
        <w:rPr>
          <w:rFonts w:hint="default" w:ascii="Times New Roman" w:hAnsi="Times New Roman" w:eastAsia="仿宋_GB2312" w:cs="Times New Roman"/>
          <w:b w:val="0"/>
          <w:bCs w:val="0"/>
          <w:color w:val="auto"/>
          <w:kern w:val="2"/>
          <w:sz w:val="32"/>
          <w:szCs w:val="32"/>
          <w:lang w:val="en-US" w:eastAsia="zh-CN" w:bidi="ar-SA"/>
        </w:rPr>
        <w:t>、新圣天然气等重点民营企业挂牌成立“检察服务民营企业联络点”，</w:t>
      </w:r>
      <w:r>
        <w:rPr>
          <w:rFonts w:hint="default" w:ascii="Times New Roman" w:hAnsi="Times New Roman" w:eastAsia="仿宋_GB2312" w:cs="Times New Roman"/>
          <w:b w:val="0"/>
          <w:bCs w:val="0"/>
          <w:color w:val="auto"/>
          <w:sz w:val="32"/>
          <w:szCs w:val="32"/>
          <w:lang w:val="en-US" w:eastAsia="zh-CN"/>
        </w:rPr>
        <w:t>在康恩贝药业公司和亿利甘草有限责任公司挂牌成立“知识产权检察保护联系点”，</w:t>
      </w:r>
      <w:r>
        <w:rPr>
          <w:rFonts w:hint="default" w:ascii="Times New Roman" w:hAnsi="Times New Roman" w:eastAsia="仿宋_GB2312" w:cs="Times New Roman"/>
          <w:b w:val="0"/>
          <w:bCs w:val="0"/>
          <w:color w:val="auto"/>
          <w:sz w:val="32"/>
          <w:szCs w:val="32"/>
          <w:lang w:eastAsia="zh-CN"/>
        </w:rPr>
        <w:t>定期上门走访宣传涉企法律法规和政策、帮助企业排查法律风险隐患等。二是</w:t>
      </w:r>
      <w:r>
        <w:rPr>
          <w:rFonts w:hint="default" w:ascii="Times New Roman" w:hAnsi="Times New Roman" w:eastAsia="仿宋_GB2312" w:cs="Times New Roman"/>
          <w:b w:val="0"/>
          <w:bCs w:val="0"/>
          <w:color w:val="auto"/>
          <w:sz w:val="32"/>
          <w:szCs w:val="32"/>
          <w:lang w:val="en-US" w:eastAsia="zh-CN"/>
        </w:rPr>
        <w:t>护航未成年人健康成长，</w:t>
      </w:r>
      <w:r>
        <w:rPr>
          <w:rFonts w:hint="default" w:ascii="Times New Roman" w:hAnsi="Times New Roman" w:eastAsia="仿宋_GB2312" w:cs="Times New Roman"/>
          <w:b w:val="0"/>
          <w:bCs w:val="0"/>
          <w:color w:val="auto"/>
          <w:kern w:val="0"/>
          <w:sz w:val="32"/>
          <w:szCs w:val="32"/>
          <w:lang w:val="en-US" w:eastAsia="zh-CN" w:bidi="ar"/>
        </w:rPr>
        <w:t>自主研发集法宣预防、强制报告、家庭教育、参观预约等多种功能的“杭检未检”微信小程序，助力未成年人保护。</w:t>
      </w:r>
      <w:r>
        <w:rPr>
          <w:rFonts w:hint="default" w:ascii="Times New Roman" w:hAnsi="Times New Roman" w:eastAsia="仿宋_GB2312" w:cs="Times New Roman"/>
          <w:b w:val="0"/>
          <w:bCs w:val="0"/>
          <w:color w:val="auto"/>
          <w:kern w:val="2"/>
          <w:sz w:val="32"/>
          <w:szCs w:val="32"/>
          <w:lang w:val="en-US" w:eastAsia="zh-CN"/>
        </w:rPr>
        <w:t>贯彻落实特殊保护、双向保护制度，零容忍打击侵害未成年人犯罪，依法逮捕6件6人，起诉4件4人。深入落实“一号检察建议”，对涉罪未成年人犯罪不捕3件5人，逮捕2件2人，起诉2件2人。</w:t>
      </w:r>
      <w:r>
        <w:rPr>
          <w:rFonts w:hint="default" w:ascii="Times New Roman" w:hAnsi="Times New Roman" w:eastAsia="仿宋_GB2312" w:cs="Times New Roman"/>
          <w:b w:val="0"/>
          <w:bCs w:val="0"/>
          <w:color w:val="auto"/>
          <w:sz w:val="32"/>
          <w:szCs w:val="32"/>
          <w:lang w:eastAsia="zh-CN"/>
        </w:rPr>
        <w:t>三是</w:t>
      </w:r>
      <w:r>
        <w:rPr>
          <w:rFonts w:hint="default" w:ascii="Times New Roman" w:hAnsi="Times New Roman" w:eastAsia="仿宋_GB2312" w:cs="Times New Roman"/>
          <w:b w:val="0"/>
          <w:bCs w:val="0"/>
          <w:color w:val="auto"/>
          <w:kern w:val="2"/>
          <w:sz w:val="32"/>
          <w:szCs w:val="32"/>
        </w:rPr>
        <w:t>强化国家司法救助工作</w:t>
      </w:r>
      <w:r>
        <w:rPr>
          <w:rFonts w:hint="default" w:ascii="Times New Roman" w:hAnsi="Times New Roman" w:eastAsia="仿宋_GB2312" w:cs="Times New Roman"/>
          <w:b w:val="0"/>
          <w:bCs w:val="0"/>
          <w:color w:val="auto"/>
          <w:kern w:val="2"/>
          <w:sz w:val="32"/>
          <w:szCs w:val="32"/>
          <w:lang w:eastAsia="zh-CN"/>
        </w:rPr>
        <w:t>。</w:t>
      </w:r>
      <w:r>
        <w:rPr>
          <w:rFonts w:hint="default" w:ascii="Times New Roman" w:hAnsi="Times New Roman" w:eastAsia="仿宋_GB2312" w:cs="Times New Roman"/>
          <w:b w:val="0"/>
          <w:bCs w:val="0"/>
          <w:i w:val="0"/>
          <w:caps w:val="0"/>
          <w:color w:val="auto"/>
          <w:spacing w:val="0"/>
          <w:w w:val="100"/>
          <w:sz w:val="32"/>
          <w:szCs w:val="32"/>
          <w:highlight w:val="none"/>
          <w:lang w:eastAsia="zh-CN"/>
        </w:rPr>
        <w:t>受理国家司法救助案</w:t>
      </w:r>
      <w:r>
        <w:rPr>
          <w:rFonts w:hint="default" w:ascii="Times New Roman" w:hAnsi="Times New Roman" w:eastAsia="仿宋_GB2312" w:cs="Times New Roman"/>
          <w:b w:val="0"/>
          <w:bCs w:val="0"/>
          <w:i w:val="0"/>
          <w:caps w:val="0"/>
          <w:color w:val="auto"/>
          <w:spacing w:val="0"/>
          <w:w w:val="100"/>
          <w:sz w:val="32"/>
          <w:szCs w:val="32"/>
          <w:highlight w:val="none"/>
          <w:lang w:val="en-US" w:eastAsia="zh-CN"/>
        </w:rPr>
        <w:t>18</w:t>
      </w:r>
      <w:r>
        <w:rPr>
          <w:rFonts w:hint="default" w:ascii="Times New Roman" w:hAnsi="Times New Roman" w:eastAsia="仿宋_GB2312" w:cs="Times New Roman"/>
          <w:b w:val="0"/>
          <w:bCs w:val="0"/>
          <w:i w:val="0"/>
          <w:caps w:val="0"/>
          <w:color w:val="auto"/>
          <w:spacing w:val="0"/>
          <w:w w:val="100"/>
          <w:sz w:val="32"/>
          <w:szCs w:val="32"/>
          <w:highlight w:val="none"/>
          <w:lang w:eastAsia="zh-CN"/>
        </w:rPr>
        <w:t>件，发放司法救助金</w:t>
      </w:r>
      <w:r>
        <w:rPr>
          <w:rFonts w:hint="default" w:ascii="Times New Roman" w:hAnsi="Times New Roman" w:eastAsia="仿宋_GB2312" w:cs="Times New Roman"/>
          <w:b w:val="0"/>
          <w:bCs w:val="0"/>
          <w:i w:val="0"/>
          <w:caps w:val="0"/>
          <w:color w:val="auto"/>
          <w:spacing w:val="0"/>
          <w:w w:val="100"/>
          <w:sz w:val="32"/>
          <w:szCs w:val="32"/>
          <w:highlight w:val="none"/>
          <w:lang w:val="en-US" w:eastAsia="zh-CN"/>
        </w:rPr>
        <w:t>17</w:t>
      </w:r>
      <w:r>
        <w:rPr>
          <w:rFonts w:hint="default" w:ascii="Times New Roman" w:hAnsi="Times New Roman" w:eastAsia="仿宋_GB2312" w:cs="Times New Roman"/>
          <w:b w:val="0"/>
          <w:bCs w:val="0"/>
          <w:i w:val="0"/>
          <w:caps w:val="0"/>
          <w:color w:val="auto"/>
          <w:spacing w:val="0"/>
          <w:w w:val="100"/>
          <w:sz w:val="32"/>
          <w:szCs w:val="32"/>
          <w:highlight w:val="none"/>
          <w:lang w:eastAsia="zh-CN"/>
        </w:rPr>
        <w:t>万元。</w:t>
      </w:r>
      <w:r>
        <w:rPr>
          <w:rFonts w:hint="default" w:ascii="Times New Roman" w:hAnsi="Times New Roman" w:eastAsia="仿宋_GB2312" w:cs="Times New Roman"/>
          <w:b w:val="0"/>
          <w:bCs w:val="0"/>
          <w:color w:val="auto"/>
          <w:sz w:val="32"/>
          <w:szCs w:val="32"/>
        </w:rPr>
        <w:t>联合旗工商联共同出台《关于鼓励爱心企业参与司法救助实施办法》，</w:t>
      </w:r>
      <w:r>
        <w:rPr>
          <w:rFonts w:hint="default" w:ascii="Times New Roman" w:hAnsi="Times New Roman" w:eastAsia="仿宋_GB2312" w:cs="Times New Roman"/>
          <w:b w:val="0"/>
          <w:bCs w:val="0"/>
          <w:color w:val="auto"/>
          <w:sz w:val="32"/>
          <w:szCs w:val="32"/>
          <w:lang w:val="en-US" w:eastAsia="zh-CN"/>
        </w:rPr>
        <w:t>联合旗红十字基金会、旗工商联成立“暖心杭检”司法救助专项基金，募集社会捐资，</w:t>
      </w:r>
      <w:r>
        <w:rPr>
          <w:rFonts w:hint="default" w:ascii="Times New Roman" w:hAnsi="Times New Roman" w:eastAsia="仿宋_GB2312" w:cs="Times New Roman"/>
          <w:b w:val="0"/>
          <w:bCs w:val="0"/>
          <w:i w:val="0"/>
          <w:caps w:val="0"/>
          <w:color w:val="auto"/>
          <w:spacing w:val="0"/>
          <w:w w:val="100"/>
          <w:sz w:val="32"/>
          <w:szCs w:val="32"/>
          <w:lang w:eastAsia="zh-CN"/>
        </w:rPr>
        <w:t>救助困难妇女</w:t>
      </w:r>
      <w:r>
        <w:rPr>
          <w:rFonts w:hint="default" w:ascii="Times New Roman" w:hAnsi="Times New Roman" w:eastAsia="仿宋_GB2312" w:cs="Times New Roman"/>
          <w:b w:val="0"/>
          <w:bCs w:val="0"/>
          <w:i w:val="0"/>
          <w:caps w:val="0"/>
          <w:color w:val="auto"/>
          <w:spacing w:val="0"/>
          <w:w w:val="100"/>
          <w:sz w:val="32"/>
          <w:szCs w:val="32"/>
          <w:lang w:val="en-US" w:eastAsia="zh-CN"/>
        </w:rPr>
        <w:t>3人，发放救助金20000元。四是</w:t>
      </w:r>
      <w:r>
        <w:rPr>
          <w:rFonts w:hint="default" w:ascii="Times New Roman" w:hAnsi="Times New Roman" w:eastAsia="仿宋_GB2312" w:cs="Times New Roman"/>
          <w:b w:val="0"/>
          <w:bCs w:val="0"/>
          <w:color w:val="auto"/>
          <w:sz w:val="32"/>
          <w:szCs w:val="32"/>
        </w:rPr>
        <w:t>强化</w:t>
      </w:r>
      <w:r>
        <w:rPr>
          <w:rFonts w:hint="default" w:ascii="Times New Roman" w:hAnsi="Times New Roman" w:eastAsia="仿宋_GB2312" w:cs="Times New Roman"/>
          <w:b w:val="0"/>
          <w:bCs w:val="0"/>
          <w:color w:val="auto"/>
          <w:spacing w:val="-10"/>
          <w:sz w:val="32"/>
          <w:szCs w:val="32"/>
        </w:rPr>
        <w:t>黄河流域生态环境保护。</w:t>
      </w:r>
      <w:r>
        <w:rPr>
          <w:rFonts w:hint="default" w:ascii="Times New Roman" w:hAnsi="Times New Roman" w:eastAsia="仿宋_GB2312" w:cs="Times New Roman"/>
          <w:b w:val="0"/>
          <w:bCs w:val="0"/>
          <w:color w:val="auto"/>
          <w:sz w:val="32"/>
          <w:szCs w:val="32"/>
        </w:rPr>
        <w:t>与巴彦淖尔市临河区、五原县、乌拉特前旗、磴口县、杭锦后旗等5个检察院召开座谈会，联合印发《关于建立黄河流域生态保护跨区域协作工作机制》，构建协力保护新格局的联动“朋友圈”。</w:t>
      </w:r>
      <w:r>
        <w:rPr>
          <w:rFonts w:hint="default" w:ascii="Times New Roman" w:hAnsi="Times New Roman" w:eastAsia="仿宋_GB2312" w:cs="Times New Roman"/>
          <w:b w:val="0"/>
          <w:bCs w:val="0"/>
          <w:color w:val="auto"/>
          <w:kern w:val="0"/>
          <w:sz w:val="32"/>
          <w:szCs w:val="32"/>
          <w:shd w:val="clear" w:color="auto" w:fill="FFFFFF"/>
          <w:lang w:val="en-US" w:eastAsia="zh-CN"/>
        </w:rPr>
        <w:t>打造“益路护杭”公益诉讼品牌，</w:t>
      </w:r>
      <w:r>
        <w:rPr>
          <w:rFonts w:hint="default" w:ascii="Times New Roman" w:hAnsi="Times New Roman" w:eastAsia="仿宋_GB2312" w:cs="Times New Roman"/>
          <w:b w:val="0"/>
          <w:bCs w:val="0"/>
          <w:color w:val="auto"/>
          <w:kern w:val="2"/>
          <w:sz w:val="32"/>
          <w:szCs w:val="32"/>
          <w:lang w:val="en-US" w:eastAsia="zh-CN" w:bidi="ar-SA"/>
        </w:rPr>
        <w:t>推行“专业化监督+恢复性司法+社会化治理”检察模式，建立“公益诉讼生态修复普法教育实践基地”，推动全社会形成生态环境保护合力。</w:t>
      </w:r>
    </w:p>
    <w:p w14:paraId="78C20305">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firstLine="640" w:firstLineChars="200"/>
        <w:textAlignment w:val="auto"/>
        <w:rPr>
          <w:rFonts w:hint="eastAsia" w:ascii="楷体_GB2312" w:hAnsi="宋体" w:eastAsia="楷体_GB2312" w:cs="Times New Roman"/>
          <w:b/>
          <w:bCs w:val="0"/>
          <w:color w:val="000000"/>
          <w:kern w:val="2"/>
          <w:sz w:val="32"/>
          <w:szCs w:val="32"/>
          <w:lang w:val="en-US" w:eastAsia="zh-CN" w:bidi="ar-SA"/>
        </w:rPr>
      </w:pPr>
      <w:r>
        <w:rPr>
          <w:rFonts w:hint="default" w:ascii="Times New Roman" w:hAnsi="Times New Roman" w:eastAsia="仿宋_GB2312" w:cs="Times New Roman"/>
          <w:b w:val="0"/>
          <w:bCs w:val="0"/>
          <w:color w:val="auto"/>
          <w:kern w:val="2"/>
          <w:sz w:val="32"/>
          <w:szCs w:val="32"/>
          <w:lang w:val="en-US" w:eastAsia="zh-CN" w:bidi="ar-SA"/>
        </w:rPr>
        <w:t>3.夯实发展根基，以更严要求锻造过硬队伍。一</w:t>
      </w:r>
      <w:r>
        <w:rPr>
          <w:rFonts w:hint="default" w:ascii="Times New Roman" w:hAnsi="Times New Roman" w:eastAsia="仿宋_GB2312" w:cs="Times New Roman"/>
          <w:b w:val="0"/>
          <w:bCs w:val="0"/>
          <w:snapToGrid w:val="0"/>
          <w:color w:val="auto"/>
          <w:kern w:val="0"/>
          <w:sz w:val="32"/>
          <w:szCs w:val="32"/>
          <w:lang w:val="en-US" w:eastAsia="zh-CN" w:bidi="ar-SA"/>
        </w:rPr>
        <w:t>是全面强化政治忠诚。积极开展主题教育，</w:t>
      </w:r>
      <w:r>
        <w:rPr>
          <w:rFonts w:hint="default" w:ascii="Times New Roman" w:hAnsi="Times New Roman" w:eastAsia="仿宋_GB2312" w:cs="Times New Roman"/>
          <w:b w:val="0"/>
          <w:bCs w:val="0"/>
          <w:color w:val="auto"/>
          <w:kern w:val="2"/>
          <w:sz w:val="32"/>
          <w:szCs w:val="32"/>
          <w:lang w:val="en-US" w:eastAsia="zh-CN" w:bidi="ar-SA"/>
        </w:rPr>
        <w:t>研究制定《实施方案》和《学习贯彻习近平新时代中国特色社会主义思想主题教育”专题读书班方案》，组织开展党支部集中学习3次，党小组专题读书班、个人自学6次，观看专题教育片1次，开展专题研讨3次，在微信公众号推送主题教育有声书25篇。</w:t>
      </w:r>
      <w:r>
        <w:rPr>
          <w:rFonts w:hint="default" w:ascii="Times New Roman" w:hAnsi="Times New Roman" w:eastAsia="仿宋_GB2312" w:cs="Times New Roman"/>
          <w:b w:val="0"/>
          <w:bCs w:val="0"/>
          <w:snapToGrid w:val="0"/>
          <w:color w:val="auto"/>
          <w:kern w:val="0"/>
          <w:sz w:val="32"/>
          <w:szCs w:val="32"/>
          <w:lang w:val="en-US" w:eastAsia="zh-CN" w:bidi="ar-SA"/>
        </w:rPr>
        <w:t>把学习贯彻党的二十大和各级检察长会议精神作为必修课，</w:t>
      </w:r>
      <w:r>
        <w:rPr>
          <w:rFonts w:hint="default" w:ascii="Times New Roman" w:hAnsi="Times New Roman" w:eastAsia="仿宋_GB2312" w:cs="Times New Roman"/>
          <w:b w:val="0"/>
          <w:bCs w:val="0"/>
          <w:color w:val="auto"/>
          <w:kern w:val="2"/>
          <w:sz w:val="32"/>
          <w:szCs w:val="32"/>
          <w:lang w:val="en-US" w:eastAsia="zh-CN" w:bidi="ar-SA"/>
        </w:rPr>
        <w:t>组织中心组集中学习</w:t>
      </w:r>
      <w:r>
        <w:rPr>
          <w:rFonts w:hint="default" w:ascii="Times New Roman" w:hAnsi="Times New Roman" w:eastAsia="仿宋_GB2312" w:cs="Times New Roman"/>
          <w:b w:val="0"/>
          <w:bCs w:val="0"/>
          <w:color w:val="auto"/>
          <w:kern w:val="2"/>
          <w:sz w:val="32"/>
          <w:szCs w:val="32"/>
          <w:highlight w:val="none"/>
          <w:lang w:val="en-US" w:eastAsia="zh-CN" w:bidi="ar-SA"/>
        </w:rPr>
        <w:t>16次</w:t>
      </w:r>
      <w:r>
        <w:rPr>
          <w:rFonts w:hint="default" w:ascii="Times New Roman" w:hAnsi="Times New Roman" w:eastAsia="仿宋_GB2312" w:cs="Times New Roman"/>
          <w:b w:val="0"/>
          <w:bCs w:val="0"/>
          <w:color w:val="auto"/>
          <w:kern w:val="2"/>
          <w:sz w:val="32"/>
          <w:szCs w:val="32"/>
          <w:lang w:val="en-US" w:eastAsia="zh-CN" w:bidi="ar-SA"/>
        </w:rPr>
        <w:t>、能力建设检察大讲堂</w:t>
      </w:r>
      <w:r>
        <w:rPr>
          <w:rFonts w:hint="default" w:ascii="Times New Roman" w:hAnsi="Times New Roman" w:eastAsia="仿宋_GB2312" w:cs="Times New Roman"/>
          <w:b w:val="0"/>
          <w:bCs w:val="0"/>
          <w:color w:val="auto"/>
          <w:kern w:val="2"/>
          <w:sz w:val="32"/>
          <w:szCs w:val="32"/>
          <w:highlight w:val="none"/>
          <w:lang w:val="en-US" w:eastAsia="zh-CN" w:bidi="ar-SA"/>
        </w:rPr>
        <w:t>43期</w:t>
      </w:r>
      <w:r>
        <w:rPr>
          <w:rFonts w:hint="default" w:ascii="Times New Roman" w:hAnsi="Times New Roman" w:eastAsia="仿宋_GB2312"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sz w:val="32"/>
          <w:szCs w:val="32"/>
          <w:lang w:val="en-US" w:eastAsia="zh-CN"/>
        </w:rPr>
        <w:t>把</w:t>
      </w:r>
      <w:r>
        <w:rPr>
          <w:rFonts w:hint="default" w:ascii="Times New Roman" w:hAnsi="Times New Roman" w:eastAsia="仿宋_GB2312" w:cs="Times New Roman"/>
          <w:b w:val="0"/>
          <w:bCs w:val="0"/>
          <w:color w:val="auto"/>
          <w:sz w:val="32"/>
          <w:szCs w:val="32"/>
        </w:rPr>
        <w:t>贯彻</w:t>
      </w:r>
      <w:r>
        <w:rPr>
          <w:rFonts w:hint="default" w:ascii="Times New Roman" w:hAnsi="Times New Roman" w:eastAsia="仿宋_GB2312" w:cs="Times New Roman"/>
          <w:b w:val="0"/>
          <w:bCs w:val="0"/>
          <w:color w:val="auto"/>
          <w:sz w:val="32"/>
          <w:szCs w:val="32"/>
          <w:lang w:eastAsia="zh-CN"/>
        </w:rPr>
        <w:t>落实</w:t>
      </w:r>
      <w:r>
        <w:rPr>
          <w:rFonts w:hint="default" w:ascii="Times New Roman" w:hAnsi="Times New Roman" w:eastAsia="仿宋_GB2312" w:cs="Times New Roman"/>
          <w:b w:val="0"/>
          <w:bCs w:val="0"/>
          <w:color w:val="auto"/>
          <w:sz w:val="32"/>
          <w:szCs w:val="32"/>
        </w:rPr>
        <w:t>《中国共产党政法工作条例》</w:t>
      </w:r>
      <w:r>
        <w:rPr>
          <w:rFonts w:hint="default" w:ascii="Times New Roman" w:hAnsi="Times New Roman" w:eastAsia="仿宋_GB2312" w:cs="Times New Roman"/>
          <w:b w:val="0"/>
          <w:bCs w:val="0"/>
          <w:color w:val="auto"/>
          <w:sz w:val="32"/>
          <w:szCs w:val="32"/>
          <w:lang w:eastAsia="zh-CN"/>
        </w:rPr>
        <w:t>作为队伍建设载体</w:t>
      </w:r>
      <w:r>
        <w:rPr>
          <w:rFonts w:hint="default" w:ascii="Times New Roman" w:hAnsi="Times New Roman" w:eastAsia="仿宋_GB2312" w:cs="Times New Roman"/>
          <w:b w:val="0"/>
          <w:bCs w:val="0"/>
          <w:color w:val="auto"/>
          <w:sz w:val="32"/>
          <w:szCs w:val="32"/>
        </w:rPr>
        <w:t>，向旗委、人大</w:t>
      </w:r>
      <w:r>
        <w:rPr>
          <w:rFonts w:hint="default" w:ascii="Times New Roman" w:hAnsi="Times New Roman" w:eastAsia="仿宋_GB2312" w:cs="Times New Roman"/>
          <w:b w:val="0"/>
          <w:bCs w:val="0"/>
          <w:color w:val="auto"/>
          <w:sz w:val="32"/>
          <w:szCs w:val="32"/>
          <w:lang w:eastAsia="zh-CN"/>
        </w:rPr>
        <w:t>、政法委</w:t>
      </w:r>
      <w:r>
        <w:rPr>
          <w:rFonts w:hint="default" w:ascii="Times New Roman" w:hAnsi="Times New Roman" w:eastAsia="仿宋_GB2312" w:cs="Times New Roman"/>
          <w:b w:val="0"/>
          <w:bCs w:val="0"/>
          <w:color w:val="auto"/>
          <w:sz w:val="32"/>
          <w:szCs w:val="32"/>
        </w:rPr>
        <w:t>请示报告工作</w:t>
      </w:r>
      <w:r>
        <w:rPr>
          <w:rFonts w:hint="default" w:ascii="Times New Roman" w:hAnsi="Times New Roman" w:eastAsia="仿宋_GB2312" w:cs="Times New Roman"/>
          <w:b w:val="0"/>
          <w:bCs w:val="0"/>
          <w:color w:val="auto"/>
          <w:sz w:val="32"/>
          <w:szCs w:val="32"/>
          <w:lang w:val="en-US" w:eastAsia="zh-CN"/>
        </w:rPr>
        <w:t>11</w:t>
      </w:r>
      <w:r>
        <w:rPr>
          <w:rFonts w:hint="default" w:ascii="Times New Roman" w:hAnsi="Times New Roman" w:eastAsia="仿宋_GB2312" w:cs="Times New Roman"/>
          <w:b w:val="0"/>
          <w:bCs w:val="0"/>
          <w:color w:val="auto"/>
          <w:sz w:val="32"/>
          <w:szCs w:val="32"/>
        </w:rPr>
        <w:t>次</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二是全面深化管党治检。</w:t>
      </w:r>
      <w:r>
        <w:rPr>
          <w:rFonts w:hint="default" w:ascii="Times New Roman" w:hAnsi="Times New Roman" w:eastAsia="仿宋_GB2312" w:cs="Times New Roman"/>
          <w:b w:val="0"/>
          <w:bCs w:val="0"/>
          <w:color w:val="auto"/>
          <w:sz w:val="32"/>
          <w:szCs w:val="32"/>
          <w:shd w:val="clear" w:color="auto" w:fill="auto"/>
        </w:rPr>
        <w:t>严肃认真开展执法司法规范化专项行动</w:t>
      </w:r>
      <w:r>
        <w:rPr>
          <w:rFonts w:hint="default" w:ascii="Times New Roman" w:hAnsi="Times New Roman" w:eastAsia="仿宋_GB2312" w:cs="Times New Roman"/>
          <w:b w:val="0"/>
          <w:bCs w:val="0"/>
          <w:color w:val="auto"/>
          <w:sz w:val="32"/>
          <w:szCs w:val="32"/>
          <w:shd w:val="clear" w:color="auto" w:fill="auto"/>
          <w:lang w:eastAsia="zh-CN"/>
        </w:rPr>
        <w:t>，组织</w:t>
      </w:r>
      <w:r>
        <w:rPr>
          <w:rFonts w:hint="default" w:ascii="Times New Roman" w:hAnsi="Times New Roman" w:eastAsia="仿宋_GB2312" w:cs="Times New Roman"/>
          <w:b w:val="0"/>
          <w:bCs w:val="0"/>
          <w:color w:val="auto"/>
          <w:sz w:val="32"/>
          <w:szCs w:val="32"/>
          <w:shd w:val="clear" w:color="auto" w:fill="auto"/>
        </w:rPr>
        <w:t>全院检察人员填写《执法司法规范化调查表》，</w:t>
      </w:r>
      <w:r>
        <w:rPr>
          <w:rFonts w:hint="default" w:ascii="Times New Roman" w:hAnsi="Times New Roman" w:eastAsia="仿宋_GB2312" w:cs="Times New Roman"/>
          <w:b w:val="0"/>
          <w:bCs w:val="0"/>
          <w:color w:val="auto"/>
          <w:sz w:val="32"/>
          <w:szCs w:val="32"/>
          <w:shd w:val="clear" w:color="auto" w:fill="auto"/>
          <w:lang w:eastAsia="zh-CN"/>
        </w:rPr>
        <w:t>并</w:t>
      </w:r>
      <w:r>
        <w:rPr>
          <w:rFonts w:hint="default" w:ascii="Times New Roman" w:hAnsi="Times New Roman" w:eastAsia="仿宋_GB2312" w:cs="Times New Roman"/>
          <w:b w:val="0"/>
          <w:bCs w:val="0"/>
          <w:color w:val="auto"/>
          <w:sz w:val="32"/>
          <w:szCs w:val="32"/>
          <w:shd w:val="clear" w:color="auto" w:fill="auto"/>
        </w:rPr>
        <w:t>对</w:t>
      </w:r>
      <w:r>
        <w:rPr>
          <w:rFonts w:hint="default" w:ascii="Times New Roman" w:hAnsi="Times New Roman" w:eastAsia="仿宋_GB2312" w:cs="Times New Roman"/>
          <w:b w:val="0"/>
          <w:bCs w:val="0"/>
          <w:color w:val="auto"/>
          <w:sz w:val="32"/>
          <w:szCs w:val="32"/>
          <w:shd w:val="clear" w:color="auto" w:fill="auto"/>
          <w:lang w:eastAsia="zh-CN"/>
        </w:rPr>
        <w:t>各部门</w:t>
      </w:r>
      <w:r>
        <w:rPr>
          <w:rFonts w:hint="default" w:ascii="Times New Roman" w:hAnsi="Times New Roman" w:eastAsia="仿宋_GB2312" w:cs="Times New Roman"/>
          <w:b w:val="0"/>
          <w:bCs w:val="0"/>
          <w:color w:val="auto"/>
          <w:sz w:val="32"/>
          <w:szCs w:val="32"/>
          <w:shd w:val="clear" w:color="auto" w:fill="auto"/>
        </w:rPr>
        <w:t>办理案件进行检查，未发现六类问题。</w:t>
      </w:r>
      <w:r>
        <w:rPr>
          <w:rFonts w:hint="default" w:ascii="Times New Roman" w:hAnsi="Times New Roman" w:eastAsia="仿宋_GB2312" w:cs="Times New Roman"/>
          <w:b w:val="0"/>
          <w:bCs w:val="0"/>
          <w:color w:val="auto"/>
          <w:sz w:val="32"/>
          <w:szCs w:val="32"/>
        </w:rPr>
        <w:t>围绕中心抓党建，</w:t>
      </w:r>
      <w:r>
        <w:rPr>
          <w:rFonts w:hint="default" w:ascii="Times New Roman" w:hAnsi="Times New Roman" w:eastAsia="仿宋_GB2312" w:cs="Times New Roman"/>
          <w:b w:val="0"/>
          <w:bCs w:val="0"/>
          <w:color w:val="auto"/>
          <w:kern w:val="0"/>
          <w:sz w:val="32"/>
          <w:szCs w:val="32"/>
          <w:shd w:val="clear" w:color="auto" w:fill="auto"/>
          <w:lang w:eastAsia="zh-CN"/>
        </w:rPr>
        <w:t>在全旗和全市检察机关率先引进</w:t>
      </w:r>
      <w:r>
        <w:rPr>
          <w:rFonts w:hint="default" w:ascii="Times New Roman" w:hAnsi="Times New Roman" w:eastAsia="仿宋_GB2312" w:cs="Times New Roman"/>
          <w:b w:val="0"/>
          <w:bCs w:val="0"/>
          <w:color w:val="auto"/>
          <w:kern w:val="0"/>
          <w:sz w:val="32"/>
          <w:szCs w:val="32"/>
          <w:shd w:val="clear" w:color="auto" w:fill="auto"/>
          <w:lang w:val="en-US" w:eastAsia="zh-CN"/>
        </w:rPr>
        <w:t>VR智慧党建系统，引入党建大数据、党建课堂、云测试等为一体的智慧党建系统，全面强化党员教育管理。</w:t>
      </w:r>
      <w:r>
        <w:rPr>
          <w:rFonts w:hint="default" w:ascii="Times New Roman" w:hAnsi="Times New Roman" w:eastAsia="仿宋_GB2312" w:cs="Times New Roman"/>
          <w:b w:val="0"/>
          <w:bCs w:val="0"/>
          <w:color w:val="auto"/>
          <w:sz w:val="32"/>
          <w:szCs w:val="32"/>
        </w:rPr>
        <w:t>常态化开展</w:t>
      </w:r>
      <w:r>
        <w:rPr>
          <w:rFonts w:hint="default" w:ascii="Times New Roman" w:hAnsi="Times New Roman" w:eastAsia="仿宋_GB2312" w:cs="Times New Roman"/>
          <w:b w:val="0"/>
          <w:bCs w:val="0"/>
          <w:color w:val="auto"/>
          <w:sz w:val="32"/>
          <w:szCs w:val="32"/>
          <w:lang w:eastAsia="zh-CN"/>
        </w:rPr>
        <w:t>检务督察</w:t>
      </w:r>
      <w:r>
        <w:rPr>
          <w:rFonts w:hint="default" w:ascii="Times New Roman" w:hAnsi="Times New Roman" w:eastAsia="仿宋_GB2312" w:cs="Times New Roman"/>
          <w:b w:val="0"/>
          <w:bCs w:val="0"/>
          <w:color w:val="auto"/>
          <w:sz w:val="32"/>
          <w:szCs w:val="32"/>
          <w:lang w:val="en-US" w:eastAsia="zh-CN"/>
        </w:rPr>
        <w:t>20次</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警示教育活动</w:t>
      </w:r>
      <w:r>
        <w:rPr>
          <w:rFonts w:hint="default" w:ascii="Times New Roman" w:hAnsi="Times New Roman" w:eastAsia="仿宋_GB2312" w:cs="Times New Roman"/>
          <w:b w:val="0"/>
          <w:bCs w:val="0"/>
          <w:color w:val="auto"/>
          <w:sz w:val="32"/>
          <w:szCs w:val="32"/>
          <w:lang w:val="en-US" w:eastAsia="zh-CN"/>
        </w:rPr>
        <w:t>7次</w:t>
      </w:r>
      <w:r>
        <w:rPr>
          <w:rFonts w:hint="default" w:ascii="Times New Roman" w:hAnsi="Times New Roman" w:eastAsia="仿宋_GB2312" w:cs="Times New Roman"/>
          <w:b w:val="0"/>
          <w:bCs w:val="0"/>
          <w:color w:val="auto"/>
          <w:sz w:val="32"/>
          <w:szCs w:val="32"/>
        </w:rPr>
        <w:t>，加强监督管理干警“八小时内外”的日常活动</w:t>
      </w:r>
      <w:r>
        <w:rPr>
          <w:rFonts w:hint="default" w:ascii="Times New Roman" w:hAnsi="Times New Roman" w:eastAsia="仿宋_GB2312" w:cs="Times New Roman"/>
          <w:b w:val="0"/>
          <w:bCs w:val="0"/>
          <w:color w:val="auto"/>
          <w:sz w:val="32"/>
          <w:szCs w:val="32"/>
          <w:lang w:eastAsia="zh-CN"/>
        </w:rPr>
        <w:t>。三是</w:t>
      </w:r>
      <w:r>
        <w:rPr>
          <w:rFonts w:hint="default" w:ascii="Times New Roman" w:hAnsi="Times New Roman" w:eastAsia="仿宋_GB2312" w:cs="Times New Roman"/>
          <w:b w:val="0"/>
          <w:bCs w:val="0"/>
          <w:color w:val="auto"/>
          <w:sz w:val="32"/>
          <w:szCs w:val="32"/>
          <w:lang w:val="en-US" w:eastAsia="zh-CN"/>
        </w:rPr>
        <w:t>全面提升专业素养。积极参与全区政法干警素质能力提升专项行动，按照“三全式”“三真式”培训实训要求，</w:t>
      </w:r>
      <w:r>
        <w:rPr>
          <w:rFonts w:hint="default" w:ascii="Times New Roman" w:hAnsi="Times New Roman" w:eastAsia="仿宋_GB2312" w:cs="Times New Roman"/>
          <w:b w:val="0"/>
          <w:bCs w:val="0"/>
          <w:color w:val="auto"/>
          <w:sz w:val="32"/>
          <w:szCs w:val="32"/>
          <w:lang w:eastAsia="zh-CN"/>
        </w:rPr>
        <w:t>开展</w:t>
      </w:r>
      <w:r>
        <w:rPr>
          <w:rFonts w:hint="default" w:ascii="Times New Roman" w:hAnsi="Times New Roman" w:eastAsia="仿宋_GB2312" w:cs="Times New Roman"/>
          <w:b w:val="0"/>
          <w:bCs w:val="0"/>
          <w:color w:val="auto"/>
          <w:sz w:val="32"/>
          <w:szCs w:val="32"/>
          <w:lang w:val="en-US" w:eastAsia="zh-CN"/>
        </w:rPr>
        <w:t>讲座进院10</w:t>
      </w:r>
      <w:r>
        <w:rPr>
          <w:rFonts w:hint="default" w:ascii="Times New Roman" w:hAnsi="Times New Roman" w:eastAsia="仿宋_GB2312" w:cs="Times New Roman"/>
          <w:b w:val="0"/>
          <w:bCs w:val="0"/>
          <w:color w:val="auto"/>
          <w:kern w:val="2"/>
          <w:sz w:val="32"/>
          <w:szCs w:val="32"/>
          <w:highlight w:val="none"/>
          <w:lang w:val="en-US" w:eastAsia="zh-CN" w:bidi="ar-SA"/>
        </w:rPr>
        <w:t>场次，外派16名</w:t>
      </w:r>
      <w:r>
        <w:rPr>
          <w:rFonts w:hint="default" w:ascii="Times New Roman" w:hAnsi="Times New Roman" w:eastAsia="仿宋_GB2312" w:cs="Times New Roman"/>
          <w:b w:val="0"/>
          <w:bCs w:val="0"/>
          <w:color w:val="auto"/>
          <w:sz w:val="32"/>
          <w:szCs w:val="32"/>
          <w:lang w:val="en-US" w:eastAsia="zh-CN"/>
        </w:rPr>
        <w:t>检察人员参加各级各类专业知识培训，落实领导干部和业务骨干上讲台制度，</w:t>
      </w:r>
      <w:r>
        <w:rPr>
          <w:rFonts w:hint="default" w:ascii="Times New Roman" w:hAnsi="Times New Roman" w:eastAsia="仿宋_GB2312" w:cs="Times New Roman"/>
          <w:b w:val="0"/>
          <w:bCs w:val="0"/>
          <w:color w:val="auto"/>
          <w:sz w:val="32"/>
          <w:szCs w:val="32"/>
        </w:rPr>
        <w:t>全面提升干警综合素能。</w:t>
      </w:r>
      <w:r>
        <w:rPr>
          <w:rFonts w:hint="default" w:ascii="Times New Roman" w:hAnsi="Times New Roman" w:eastAsia="仿宋_GB2312" w:cs="Times New Roman"/>
          <w:b w:val="0"/>
          <w:bCs w:val="0"/>
          <w:color w:val="auto"/>
          <w:sz w:val="32"/>
          <w:szCs w:val="40"/>
          <w:shd w:val="clear" w:color="auto" w:fill="auto"/>
          <w:lang w:eastAsia="zh-CN" w:bidi="ar"/>
        </w:rPr>
        <w:t>与常熟市检察院签订共建协议，引进数字检察、公益诉讼取证、公诉方面专业人才为特邀荣誉检察官进行帮带指导，开展名检察官“空中课堂”</w:t>
      </w:r>
      <w:r>
        <w:rPr>
          <w:rFonts w:hint="default" w:ascii="Times New Roman" w:hAnsi="Times New Roman" w:eastAsia="仿宋_GB2312" w:cs="Times New Roman"/>
          <w:b w:val="0"/>
          <w:bCs w:val="0"/>
          <w:color w:val="auto"/>
          <w:sz w:val="32"/>
          <w:szCs w:val="40"/>
          <w:shd w:val="clear" w:color="auto" w:fill="auto"/>
          <w:lang w:val="en-US" w:eastAsia="zh-CN" w:bidi="ar"/>
        </w:rPr>
        <w:t>5期。</w:t>
      </w:r>
    </w:p>
    <w:p w14:paraId="7BC9B4B4">
      <w:pPr>
        <w:pStyle w:val="5"/>
        <w:keepNext w:val="0"/>
        <w:keepLines w:val="0"/>
        <w:pageBreakBefore w:val="0"/>
        <w:widowControl/>
        <w:kinsoku/>
        <w:wordWrap/>
        <w:overflowPunct/>
        <w:topLinePunct w:val="0"/>
        <w:autoSpaceDE/>
        <w:autoSpaceDN/>
        <w:bidi w:val="0"/>
        <w:spacing w:before="0" w:beforeAutospacing="0" w:after="0" w:afterAutospacing="0" w:line="560" w:lineRule="exact"/>
        <w:jc w:val="center"/>
        <w:textAlignment w:val="auto"/>
        <w:rPr>
          <w:rFonts w:hint="eastAsia" w:ascii="楷体_GB2312" w:hAnsi="宋体" w:eastAsia="楷体_GB2312" w:cs="Times New Roman"/>
          <w:b/>
          <w:bCs w:val="0"/>
          <w:color w:val="000000"/>
          <w:kern w:val="2"/>
          <w:sz w:val="32"/>
          <w:szCs w:val="32"/>
          <w:lang w:val="en-US" w:eastAsia="zh-CN" w:bidi="ar-SA"/>
        </w:rPr>
      </w:pPr>
      <w:r>
        <w:rPr>
          <w:rFonts w:hint="eastAsia" w:ascii="楷体_GB2312" w:hAnsi="宋体" w:eastAsia="楷体_GB2312" w:cs="Times New Roman"/>
          <w:b/>
          <w:bCs w:val="0"/>
          <w:color w:val="000000"/>
          <w:kern w:val="2"/>
          <w:sz w:val="32"/>
          <w:szCs w:val="32"/>
          <w:lang w:val="en-US" w:eastAsia="zh-CN" w:bidi="ar-SA"/>
        </w:rPr>
        <w:t>第二部分  部门决算情况说明</w:t>
      </w:r>
    </w:p>
    <w:p w14:paraId="6167BE6B">
      <w:pPr>
        <w:keepNext w:val="0"/>
        <w:keepLines w:val="0"/>
        <w:pageBreakBefore w:val="0"/>
        <w:widowControl/>
        <w:kinsoku/>
        <w:wordWrap/>
        <w:overflowPunct/>
        <w:topLinePunct w:val="0"/>
        <w:autoSpaceDE/>
        <w:autoSpaceDN/>
        <w:bidi w:val="0"/>
        <w:spacing w:beforeAutospacing="0" w:afterAutospacing="0" w:line="560" w:lineRule="exact"/>
        <w:jc w:val="left"/>
        <w:textAlignment w:val="auto"/>
        <w:rPr>
          <w:rFonts w:ascii="Times New Roman" w:hAnsi="Times New Roman" w:eastAsia="Times New Roman" w:cs="Times New Roman"/>
          <w:kern w:val="0"/>
          <w:sz w:val="24"/>
        </w:rPr>
      </w:pPr>
      <w:r>
        <w:rPr>
          <w:rFonts w:ascii="Calibri" w:hAnsi="Calibri" w:eastAsia="Calibri" w:cs="Calibri"/>
          <w:b/>
          <w:bCs/>
          <w:kern w:val="0"/>
          <w:sz w:val="27"/>
          <w:szCs w:val="27"/>
        </w:rPr>
        <w:t> </w:t>
      </w:r>
      <w:r>
        <w:rPr>
          <w:rFonts w:hint="eastAsia" w:ascii="Calibri" w:hAnsi="Calibri" w:cs="Calibri"/>
          <w:b/>
          <w:bCs/>
          <w:kern w:val="0"/>
          <w:sz w:val="27"/>
          <w:szCs w:val="27"/>
          <w:lang w:val="en-US" w:eastAsia="zh-CN"/>
        </w:rPr>
        <w:t xml:space="preserve">    </w:t>
      </w:r>
      <w:r>
        <w:rPr>
          <w:rFonts w:hint="eastAsia" w:ascii="黑体" w:hAnsi="黑体" w:eastAsia="黑体" w:cs="Times New Roman"/>
          <w:sz w:val="32"/>
          <w:szCs w:val="32"/>
        </w:rPr>
        <w:t>一、收入支出决算总体情况说明</w:t>
      </w:r>
    </w:p>
    <w:p w14:paraId="48322C79">
      <w:pPr>
        <w:keepNext w:val="0"/>
        <w:keepLines w:val="0"/>
        <w:pageBreakBefore w:val="0"/>
        <w:widowControl w:val="0"/>
        <w:suppressLineNumbers w:val="0"/>
        <w:kinsoku/>
        <w:wordWrap/>
        <w:overflowPunct/>
        <w:topLinePunct w:val="0"/>
        <w:autoSpaceDE w:val="0"/>
        <w:autoSpaceDN/>
        <w:bidi w:val="0"/>
        <w:adjustRightInd w:val="0"/>
        <w:snapToGrid w:val="0"/>
        <w:spacing w:line="560" w:lineRule="exact"/>
        <w:ind w:left="0" w:firstLine="640"/>
        <w:jc w:val="both"/>
        <w:textAlignment w:val="auto"/>
        <w:rPr>
          <w:rFonts w:hint="eastAsia" w:ascii="Times New Roman" w:hAnsi="Times New Roman" w:eastAsia="仿宋_GB2312" w:cs="Times New Roman"/>
          <w:b w:val="0"/>
          <w:bCs w:val="0"/>
          <w:color w:val="000000" w:themeColor="text1"/>
          <w:sz w:val="32"/>
          <w:szCs w:val="32"/>
        </w:rPr>
      </w:pPr>
      <w:r>
        <w:rPr>
          <w:rFonts w:hint="eastAsia" w:ascii="Times New Roman" w:hAnsi="Times New Roman" w:eastAsia="仿宋_GB2312" w:cs="Times New Roman"/>
          <w:b w:val="0"/>
          <w:bCs w:val="0"/>
          <w:color w:val="000000" w:themeColor="text1"/>
          <w:sz w:val="32"/>
          <w:szCs w:val="32"/>
        </w:rPr>
        <w:t>杭锦旗人民检察院 2023年度收入、支出决算总计 1,576.52万元。与年初预算相比，收、支总计各增加 286.51万元，增长 22.21%，变动原因：一是财政厅追加预算共计8</w:t>
      </w:r>
      <w:r>
        <w:rPr>
          <w:rFonts w:hint="eastAsia" w:ascii="Times New Roman" w:hAnsi="Times New Roman" w:eastAsia="仿宋_GB2312" w:cs="Times New Roman"/>
          <w:b w:val="0"/>
          <w:bCs w:val="0"/>
          <w:color w:val="000000" w:themeColor="text1"/>
          <w:sz w:val="32"/>
          <w:szCs w:val="32"/>
          <w:lang w:val="en-US" w:eastAsia="zh-CN"/>
        </w:rPr>
        <w:t>0</w:t>
      </w:r>
      <w:r>
        <w:rPr>
          <w:rFonts w:hint="eastAsia" w:ascii="Times New Roman" w:hAnsi="Times New Roman" w:eastAsia="仿宋_GB2312" w:cs="Times New Roman"/>
          <w:b w:val="0"/>
          <w:bCs w:val="0"/>
          <w:color w:val="000000" w:themeColor="text1"/>
          <w:sz w:val="32"/>
          <w:szCs w:val="32"/>
        </w:rPr>
        <w:t>.7万元（年末收回预算</w:t>
      </w:r>
      <w:r>
        <w:rPr>
          <w:rFonts w:hint="eastAsia" w:ascii="Times New Roman" w:hAnsi="Times New Roman" w:eastAsia="仿宋_GB2312" w:cs="Times New Roman"/>
          <w:b w:val="0"/>
          <w:bCs w:val="0"/>
          <w:color w:val="000000" w:themeColor="text1"/>
          <w:sz w:val="32"/>
          <w:szCs w:val="32"/>
          <w:lang w:val="en-US" w:eastAsia="zh-CN"/>
        </w:rPr>
        <w:t>41.9</w:t>
      </w:r>
      <w:r>
        <w:rPr>
          <w:rFonts w:hint="eastAsia" w:ascii="Times New Roman" w:hAnsi="Times New Roman" w:eastAsia="仿宋_GB2312" w:cs="Times New Roman"/>
          <w:b w:val="0"/>
          <w:bCs w:val="0"/>
          <w:color w:val="000000" w:themeColor="text1"/>
          <w:sz w:val="32"/>
          <w:szCs w:val="32"/>
        </w:rPr>
        <w:t>万元），包括：</w:t>
      </w:r>
      <w:r>
        <w:rPr>
          <w:rFonts w:hint="default" w:ascii="Times New Roman" w:hAnsi="Times New Roman" w:eastAsia="仿宋_GB2312" w:cs="Times New Roman"/>
          <w:b w:val="0"/>
          <w:bCs w:val="0"/>
          <w:color w:val="000000" w:themeColor="text1"/>
          <w:sz w:val="32"/>
          <w:szCs w:val="32"/>
          <w:lang w:val="en-US" w:eastAsia="zh-CN"/>
        </w:rPr>
        <w:t>追加</w:t>
      </w:r>
      <w:r>
        <w:rPr>
          <w:rFonts w:hint="default" w:ascii="Times New Roman" w:hAnsi="Times New Roman" w:eastAsia="仿宋_GB2312" w:cs="Times New Roman"/>
          <w:b w:val="0"/>
          <w:bCs w:val="0"/>
          <w:color w:val="000000" w:themeColor="text1"/>
          <w:sz w:val="32"/>
          <w:szCs w:val="32"/>
          <w:lang w:eastAsia="zh-CN"/>
        </w:rPr>
        <w:t>办案（业务）经费</w:t>
      </w:r>
      <w:r>
        <w:rPr>
          <w:rFonts w:hint="default" w:ascii="Times New Roman" w:hAnsi="Times New Roman" w:eastAsia="仿宋_GB2312" w:cs="Times New Roman"/>
          <w:b w:val="0"/>
          <w:bCs w:val="0"/>
          <w:color w:val="000000" w:themeColor="text1"/>
          <w:sz w:val="32"/>
          <w:szCs w:val="32"/>
          <w:lang w:val="en-US" w:eastAsia="zh-CN"/>
        </w:rPr>
        <w:t>35万元，追加2023年未休假补贴41.8万元，追加艰边补贴3.9万元。</w:t>
      </w:r>
      <w:r>
        <w:rPr>
          <w:rFonts w:hint="eastAsia" w:ascii="Times New Roman" w:hAnsi="Times New Roman" w:eastAsia="仿宋_GB2312" w:cs="Times New Roman"/>
          <w:b w:val="0"/>
          <w:bCs w:val="0"/>
          <w:color w:val="000000" w:themeColor="text1"/>
          <w:sz w:val="32"/>
          <w:szCs w:val="32"/>
        </w:rPr>
        <w:t>二是</w:t>
      </w:r>
      <w:r>
        <w:rPr>
          <w:rFonts w:hint="default" w:ascii="Times New Roman" w:hAnsi="Times New Roman" w:eastAsia="仿宋_GB2312" w:cs="Times New Roman"/>
          <w:b w:val="0"/>
          <w:bCs w:val="0"/>
          <w:color w:val="000000" w:themeColor="text1"/>
          <w:sz w:val="32"/>
          <w:szCs w:val="32"/>
        </w:rPr>
        <w:t>其他收入调整预算数为</w:t>
      </w:r>
      <w:r>
        <w:rPr>
          <w:rFonts w:hint="default" w:ascii="Times New Roman" w:hAnsi="Times New Roman" w:eastAsia="仿宋_GB2312" w:cs="Times New Roman"/>
          <w:b w:val="0"/>
          <w:bCs w:val="0"/>
          <w:color w:val="000000" w:themeColor="text1"/>
          <w:sz w:val="32"/>
          <w:szCs w:val="32"/>
          <w:lang w:val="en-US" w:eastAsia="zh-CN"/>
        </w:rPr>
        <w:t>240.2万元，</w:t>
      </w:r>
      <w:r>
        <w:rPr>
          <w:rFonts w:hint="default" w:ascii="Times New Roman" w:hAnsi="Times New Roman" w:eastAsia="仿宋_GB2312" w:cs="Times New Roman"/>
          <w:b w:val="0"/>
          <w:bCs w:val="0"/>
          <w:color w:val="000000" w:themeColor="text1"/>
          <w:sz w:val="32"/>
          <w:szCs w:val="32"/>
          <w:lang w:eastAsia="zh-CN"/>
        </w:rPr>
        <w:t>包括</w:t>
      </w:r>
      <w:r>
        <w:rPr>
          <w:rFonts w:hint="default" w:ascii="Times New Roman" w:hAnsi="Times New Roman" w:eastAsia="仿宋_GB2312" w:cs="Times New Roman"/>
          <w:b w:val="0"/>
          <w:bCs w:val="0"/>
          <w:color w:val="000000" w:themeColor="text1"/>
          <w:sz w:val="32"/>
          <w:szCs w:val="32"/>
        </w:rPr>
        <w:t>：旗财政拨</w:t>
      </w:r>
      <w:r>
        <w:rPr>
          <w:rFonts w:hint="default" w:ascii="Times New Roman" w:hAnsi="Times New Roman" w:eastAsia="仿宋_GB2312" w:cs="Times New Roman"/>
          <w:b w:val="0"/>
          <w:bCs w:val="0"/>
          <w:color w:val="000000" w:themeColor="text1"/>
          <w:sz w:val="32"/>
          <w:szCs w:val="32"/>
          <w:lang w:val="en-US" w:eastAsia="zh-CN"/>
        </w:rPr>
        <w:t>付退休</w:t>
      </w:r>
      <w:r>
        <w:rPr>
          <w:rFonts w:hint="default" w:ascii="Times New Roman" w:hAnsi="Times New Roman" w:eastAsia="仿宋_GB2312" w:cs="Times New Roman"/>
          <w:b w:val="0"/>
          <w:bCs w:val="0"/>
          <w:color w:val="000000" w:themeColor="text1"/>
          <w:sz w:val="32"/>
          <w:szCs w:val="32"/>
        </w:rPr>
        <w:t>人员工资</w:t>
      </w:r>
      <w:r>
        <w:rPr>
          <w:rFonts w:hint="default" w:ascii="Times New Roman" w:hAnsi="Times New Roman" w:eastAsia="仿宋_GB2312" w:cs="Times New Roman"/>
          <w:b w:val="0"/>
          <w:bCs w:val="0"/>
          <w:color w:val="000000" w:themeColor="text1"/>
          <w:sz w:val="32"/>
          <w:szCs w:val="32"/>
          <w:lang w:val="en-US" w:eastAsia="zh-CN"/>
        </w:rPr>
        <w:t>41.24万</w:t>
      </w:r>
      <w:r>
        <w:rPr>
          <w:rFonts w:hint="default" w:ascii="Times New Roman" w:hAnsi="Times New Roman" w:eastAsia="仿宋_GB2312" w:cs="Times New Roman"/>
          <w:b w:val="0"/>
          <w:bCs w:val="0"/>
          <w:color w:val="000000" w:themeColor="text1"/>
          <w:sz w:val="32"/>
          <w:szCs w:val="32"/>
        </w:rPr>
        <w:t>元</w:t>
      </w:r>
      <w:r>
        <w:rPr>
          <w:rFonts w:hint="eastAsia" w:ascii="Times New Roman" w:hAnsi="Times New Roman" w:eastAsia="仿宋_GB2312" w:cs="Times New Roman"/>
          <w:b w:val="0"/>
          <w:bCs w:val="0"/>
          <w:color w:val="000000" w:themeColor="text1"/>
          <w:sz w:val="32"/>
          <w:szCs w:val="32"/>
          <w:lang w:eastAsia="zh-CN"/>
        </w:rPr>
        <w:t>，</w:t>
      </w:r>
      <w:r>
        <w:rPr>
          <w:rFonts w:hint="default" w:ascii="Times New Roman" w:hAnsi="Times New Roman" w:eastAsia="仿宋_GB2312" w:cs="Times New Roman"/>
          <w:b w:val="0"/>
          <w:bCs w:val="0"/>
          <w:color w:val="000000" w:themeColor="text1"/>
          <w:sz w:val="32"/>
          <w:szCs w:val="32"/>
          <w:lang w:eastAsia="zh-CN"/>
        </w:rPr>
        <w:t>旗财政拨付</w:t>
      </w:r>
      <w:r>
        <w:rPr>
          <w:rFonts w:hint="default" w:ascii="Times New Roman" w:hAnsi="Times New Roman" w:eastAsia="仿宋_GB2312" w:cs="Times New Roman"/>
          <w:b w:val="0"/>
          <w:bCs w:val="0"/>
          <w:color w:val="000000" w:themeColor="text1"/>
          <w:sz w:val="32"/>
          <w:szCs w:val="32"/>
        </w:rPr>
        <w:t>遗属人员</w:t>
      </w:r>
      <w:r>
        <w:rPr>
          <w:rFonts w:hint="default" w:ascii="Times New Roman" w:hAnsi="Times New Roman" w:eastAsia="仿宋_GB2312" w:cs="Times New Roman"/>
          <w:b w:val="0"/>
          <w:bCs w:val="0"/>
          <w:color w:val="000000" w:themeColor="text1"/>
          <w:sz w:val="32"/>
          <w:szCs w:val="32"/>
          <w:lang w:val="en-US" w:eastAsia="zh-CN"/>
        </w:rPr>
        <w:t>生活补助</w:t>
      </w:r>
      <w:r>
        <w:rPr>
          <w:rFonts w:hint="default" w:ascii="Times New Roman" w:hAnsi="Times New Roman" w:eastAsia="仿宋_GB2312" w:cs="Times New Roman"/>
          <w:b w:val="0"/>
          <w:bCs w:val="0"/>
          <w:color w:val="000000" w:themeColor="text1"/>
          <w:sz w:val="32"/>
          <w:szCs w:val="32"/>
        </w:rPr>
        <w:t>3</w:t>
      </w:r>
      <w:r>
        <w:rPr>
          <w:rFonts w:hint="default" w:ascii="Times New Roman" w:hAnsi="Times New Roman" w:eastAsia="仿宋_GB2312" w:cs="Times New Roman"/>
          <w:b w:val="0"/>
          <w:bCs w:val="0"/>
          <w:color w:val="000000" w:themeColor="text1"/>
          <w:sz w:val="32"/>
          <w:szCs w:val="32"/>
          <w:lang w:val="en-US" w:eastAsia="zh-CN"/>
        </w:rPr>
        <w:t>.</w:t>
      </w:r>
      <w:r>
        <w:rPr>
          <w:rFonts w:hint="default" w:ascii="Times New Roman" w:hAnsi="Times New Roman" w:eastAsia="仿宋_GB2312" w:cs="Times New Roman"/>
          <w:b w:val="0"/>
          <w:bCs w:val="0"/>
          <w:color w:val="000000" w:themeColor="text1"/>
          <w:sz w:val="32"/>
          <w:szCs w:val="32"/>
        </w:rPr>
        <w:t>69</w:t>
      </w:r>
      <w:r>
        <w:rPr>
          <w:rFonts w:hint="default" w:ascii="Times New Roman" w:hAnsi="Times New Roman" w:eastAsia="仿宋_GB2312" w:cs="Times New Roman"/>
          <w:b w:val="0"/>
          <w:bCs w:val="0"/>
          <w:color w:val="000000" w:themeColor="text1"/>
          <w:sz w:val="32"/>
          <w:szCs w:val="32"/>
          <w:lang w:eastAsia="zh-CN"/>
        </w:rPr>
        <w:t>万</w:t>
      </w:r>
      <w:r>
        <w:rPr>
          <w:rFonts w:hint="default" w:ascii="Times New Roman" w:hAnsi="Times New Roman" w:eastAsia="仿宋_GB2312" w:cs="Times New Roman"/>
          <w:b w:val="0"/>
          <w:bCs w:val="0"/>
          <w:color w:val="000000" w:themeColor="text1"/>
          <w:sz w:val="32"/>
          <w:szCs w:val="32"/>
        </w:rPr>
        <w:t>元</w:t>
      </w:r>
      <w:r>
        <w:rPr>
          <w:rFonts w:hint="eastAsia" w:ascii="Times New Roman" w:hAnsi="Times New Roman" w:eastAsia="仿宋_GB2312" w:cs="Times New Roman"/>
          <w:b w:val="0"/>
          <w:bCs w:val="0"/>
          <w:color w:val="000000" w:themeColor="text1"/>
          <w:sz w:val="32"/>
          <w:szCs w:val="32"/>
          <w:lang w:eastAsia="zh-CN"/>
        </w:rPr>
        <w:t>，</w:t>
      </w:r>
      <w:r>
        <w:rPr>
          <w:rFonts w:hint="default" w:ascii="Times New Roman" w:hAnsi="Times New Roman" w:eastAsia="仿宋_GB2312" w:cs="Times New Roman"/>
          <w:b w:val="0"/>
          <w:bCs w:val="0"/>
          <w:color w:val="000000" w:themeColor="text1"/>
          <w:sz w:val="32"/>
          <w:szCs w:val="32"/>
          <w:lang w:eastAsia="zh-CN"/>
        </w:rPr>
        <w:t>旗财政拨付</w:t>
      </w:r>
      <w:r>
        <w:rPr>
          <w:rFonts w:hint="default" w:ascii="Times New Roman" w:hAnsi="Times New Roman" w:eastAsia="仿宋_GB2312" w:cs="Times New Roman"/>
          <w:b w:val="0"/>
          <w:bCs w:val="0"/>
          <w:color w:val="000000" w:themeColor="text1"/>
          <w:sz w:val="32"/>
          <w:szCs w:val="32"/>
          <w:lang w:val="en-US" w:eastAsia="zh-CN"/>
        </w:rPr>
        <w:t>死亡一次性抚恤金18.51万元</w:t>
      </w:r>
      <w:r>
        <w:rPr>
          <w:rFonts w:hint="eastAsia" w:ascii="Times New Roman" w:hAnsi="Times New Roman" w:eastAsia="仿宋_GB2312" w:cs="Times New Roman"/>
          <w:b w:val="0"/>
          <w:bCs w:val="0"/>
          <w:color w:val="000000" w:themeColor="text1"/>
          <w:sz w:val="32"/>
          <w:szCs w:val="32"/>
          <w:lang w:val="en-US" w:eastAsia="zh-CN"/>
        </w:rPr>
        <w:t>，</w:t>
      </w:r>
      <w:r>
        <w:rPr>
          <w:rFonts w:hint="default" w:ascii="Times New Roman" w:hAnsi="Times New Roman" w:eastAsia="仿宋_GB2312" w:cs="Times New Roman"/>
          <w:b w:val="0"/>
          <w:bCs w:val="0"/>
          <w:color w:val="000000" w:themeColor="text1"/>
          <w:sz w:val="32"/>
          <w:szCs w:val="32"/>
          <w:lang w:eastAsia="zh-CN"/>
        </w:rPr>
        <w:t>旗财政拨付</w:t>
      </w:r>
      <w:r>
        <w:rPr>
          <w:rFonts w:hint="default" w:ascii="Times New Roman" w:hAnsi="Times New Roman" w:eastAsia="仿宋_GB2312" w:cs="Times New Roman"/>
          <w:b w:val="0"/>
          <w:bCs w:val="0"/>
          <w:color w:val="000000" w:themeColor="text1"/>
          <w:sz w:val="32"/>
          <w:szCs w:val="32"/>
          <w:lang w:val="en-US" w:eastAsia="zh-CN"/>
        </w:rPr>
        <w:t>以前年度调出人员退休做实职业年金1.82万元</w:t>
      </w:r>
      <w:r>
        <w:rPr>
          <w:rFonts w:hint="eastAsia" w:ascii="Times New Roman" w:hAnsi="Times New Roman" w:eastAsia="仿宋_GB2312" w:cs="Times New Roman"/>
          <w:b w:val="0"/>
          <w:bCs w:val="0"/>
          <w:color w:val="000000" w:themeColor="text1"/>
          <w:sz w:val="32"/>
          <w:szCs w:val="32"/>
          <w:lang w:val="en-US" w:eastAsia="zh-CN"/>
        </w:rPr>
        <w:t>，</w:t>
      </w:r>
      <w:r>
        <w:rPr>
          <w:rFonts w:hint="default" w:ascii="Times New Roman" w:hAnsi="Times New Roman" w:eastAsia="仿宋_GB2312" w:cs="Times New Roman"/>
          <w:b w:val="0"/>
          <w:bCs w:val="0"/>
          <w:color w:val="000000" w:themeColor="text1"/>
          <w:sz w:val="32"/>
          <w:szCs w:val="32"/>
          <w:lang w:eastAsia="zh-CN"/>
        </w:rPr>
        <w:t>旗财政拨付</w:t>
      </w:r>
      <w:r>
        <w:rPr>
          <w:rFonts w:hint="default" w:ascii="Times New Roman" w:hAnsi="Times New Roman" w:eastAsia="仿宋_GB2312" w:cs="Times New Roman"/>
          <w:b w:val="0"/>
          <w:bCs w:val="0"/>
          <w:color w:val="000000" w:themeColor="text1"/>
          <w:sz w:val="32"/>
          <w:szCs w:val="32"/>
        </w:rPr>
        <w:t>办案业务用房维修改造费用</w:t>
      </w:r>
      <w:r>
        <w:rPr>
          <w:rFonts w:hint="default" w:ascii="Times New Roman" w:hAnsi="Times New Roman" w:eastAsia="仿宋_GB2312" w:cs="Times New Roman"/>
          <w:b w:val="0"/>
          <w:bCs w:val="0"/>
          <w:color w:val="000000" w:themeColor="text1"/>
          <w:sz w:val="32"/>
          <w:szCs w:val="32"/>
          <w:lang w:val="en-US" w:eastAsia="zh-CN"/>
        </w:rPr>
        <w:t>166.74万</w:t>
      </w:r>
      <w:r>
        <w:rPr>
          <w:rFonts w:hint="default" w:ascii="Times New Roman" w:hAnsi="Times New Roman" w:eastAsia="仿宋_GB2312" w:cs="Times New Roman"/>
          <w:b w:val="0"/>
          <w:bCs w:val="0"/>
          <w:color w:val="000000" w:themeColor="text1"/>
          <w:sz w:val="32"/>
          <w:szCs w:val="32"/>
        </w:rPr>
        <w:t>元</w:t>
      </w:r>
      <w:r>
        <w:rPr>
          <w:rFonts w:hint="eastAsia" w:ascii="Times New Roman" w:hAnsi="Times New Roman" w:eastAsia="仿宋_GB2312" w:cs="Times New Roman"/>
          <w:b w:val="0"/>
          <w:bCs w:val="0"/>
          <w:color w:val="000000" w:themeColor="text1"/>
          <w:sz w:val="32"/>
          <w:szCs w:val="32"/>
          <w:lang w:eastAsia="zh-CN"/>
        </w:rPr>
        <w:t>，</w:t>
      </w:r>
      <w:r>
        <w:rPr>
          <w:rFonts w:hint="default" w:ascii="Times New Roman" w:hAnsi="Times New Roman" w:eastAsia="仿宋_GB2312" w:cs="Times New Roman"/>
          <w:b w:val="0"/>
          <w:bCs w:val="0"/>
          <w:color w:val="000000" w:themeColor="text1"/>
          <w:sz w:val="32"/>
          <w:szCs w:val="32"/>
          <w:lang w:eastAsia="zh-CN"/>
        </w:rPr>
        <w:t>旗财政拨付</w:t>
      </w:r>
      <w:r>
        <w:rPr>
          <w:rFonts w:hint="default" w:ascii="Times New Roman" w:hAnsi="Times New Roman" w:eastAsia="仿宋_GB2312" w:cs="Times New Roman"/>
          <w:b w:val="0"/>
          <w:bCs w:val="0"/>
          <w:color w:val="000000" w:themeColor="text1"/>
          <w:sz w:val="32"/>
          <w:szCs w:val="32"/>
          <w:lang w:val="en-US" w:eastAsia="zh-CN"/>
        </w:rPr>
        <w:t>人才载体平台建设运行经费2万</w:t>
      </w:r>
      <w:r>
        <w:rPr>
          <w:rFonts w:hint="default" w:ascii="Times New Roman" w:hAnsi="Times New Roman" w:eastAsia="仿宋_GB2312" w:cs="Times New Roman"/>
          <w:b w:val="0"/>
          <w:bCs w:val="0"/>
          <w:color w:val="000000" w:themeColor="text1"/>
          <w:sz w:val="32"/>
          <w:szCs w:val="32"/>
        </w:rPr>
        <w:t>元</w:t>
      </w:r>
      <w:r>
        <w:rPr>
          <w:rFonts w:hint="eastAsia" w:ascii="Times New Roman" w:hAnsi="Times New Roman" w:eastAsia="仿宋_GB2312" w:cs="Times New Roman"/>
          <w:b w:val="0"/>
          <w:bCs w:val="0"/>
          <w:color w:val="000000" w:themeColor="text1"/>
          <w:sz w:val="32"/>
          <w:szCs w:val="32"/>
          <w:lang w:eastAsia="zh-CN"/>
        </w:rPr>
        <w:t>，</w:t>
      </w:r>
      <w:r>
        <w:rPr>
          <w:rFonts w:hint="default" w:ascii="Times New Roman" w:hAnsi="Times New Roman" w:eastAsia="仿宋_GB2312" w:cs="Times New Roman"/>
          <w:b w:val="0"/>
          <w:bCs w:val="0"/>
          <w:color w:val="000000" w:themeColor="text1"/>
          <w:sz w:val="32"/>
          <w:szCs w:val="32"/>
          <w:lang w:eastAsia="zh-CN"/>
        </w:rPr>
        <w:t>旗财政拨付</w:t>
      </w:r>
      <w:r>
        <w:rPr>
          <w:rFonts w:hint="default" w:ascii="Times New Roman" w:hAnsi="Times New Roman" w:eastAsia="仿宋_GB2312" w:cs="Times New Roman"/>
          <w:b w:val="0"/>
          <w:bCs w:val="0"/>
          <w:color w:val="000000" w:themeColor="text1"/>
          <w:sz w:val="32"/>
          <w:szCs w:val="32"/>
        </w:rPr>
        <w:t>创城经费</w:t>
      </w:r>
      <w:r>
        <w:rPr>
          <w:rFonts w:hint="default" w:ascii="Times New Roman" w:hAnsi="Times New Roman" w:eastAsia="仿宋_GB2312" w:cs="Times New Roman"/>
          <w:b w:val="0"/>
          <w:bCs w:val="0"/>
          <w:color w:val="000000" w:themeColor="text1"/>
          <w:sz w:val="32"/>
          <w:szCs w:val="32"/>
          <w:lang w:val="en-US" w:eastAsia="zh-CN"/>
        </w:rPr>
        <w:t>1</w:t>
      </w:r>
      <w:r>
        <w:rPr>
          <w:rFonts w:hint="default" w:ascii="Times New Roman" w:hAnsi="Times New Roman" w:eastAsia="仿宋_GB2312" w:cs="Times New Roman"/>
          <w:b w:val="0"/>
          <w:bCs w:val="0"/>
          <w:color w:val="000000" w:themeColor="text1"/>
          <w:sz w:val="32"/>
          <w:szCs w:val="32"/>
          <w:lang w:eastAsia="zh-CN"/>
        </w:rPr>
        <w:t>万</w:t>
      </w:r>
      <w:r>
        <w:rPr>
          <w:rFonts w:hint="default" w:ascii="Times New Roman" w:hAnsi="Times New Roman" w:eastAsia="仿宋_GB2312" w:cs="Times New Roman"/>
          <w:b w:val="0"/>
          <w:bCs w:val="0"/>
          <w:color w:val="000000" w:themeColor="text1"/>
          <w:sz w:val="32"/>
          <w:szCs w:val="32"/>
        </w:rPr>
        <w:t>元</w:t>
      </w:r>
      <w:r>
        <w:rPr>
          <w:rFonts w:hint="eastAsia" w:ascii="Times New Roman" w:hAnsi="Times New Roman" w:eastAsia="仿宋_GB2312" w:cs="Times New Roman"/>
          <w:b w:val="0"/>
          <w:bCs w:val="0"/>
          <w:color w:val="000000" w:themeColor="text1"/>
          <w:sz w:val="32"/>
          <w:szCs w:val="32"/>
          <w:lang w:eastAsia="zh-CN"/>
        </w:rPr>
        <w:t>，</w:t>
      </w:r>
      <w:r>
        <w:rPr>
          <w:rFonts w:hint="default" w:ascii="Times New Roman" w:hAnsi="Times New Roman" w:eastAsia="仿宋_GB2312" w:cs="Times New Roman"/>
          <w:b w:val="0"/>
          <w:bCs w:val="0"/>
          <w:color w:val="000000" w:themeColor="text1"/>
          <w:sz w:val="32"/>
          <w:szCs w:val="32"/>
          <w:lang w:eastAsia="zh-CN"/>
        </w:rPr>
        <w:t>旗组织部</w:t>
      </w:r>
      <w:r>
        <w:rPr>
          <w:rFonts w:hint="default" w:ascii="Times New Roman" w:hAnsi="Times New Roman" w:eastAsia="仿宋_GB2312" w:cs="Times New Roman"/>
          <w:b w:val="0"/>
          <w:bCs w:val="0"/>
          <w:color w:val="000000" w:themeColor="text1"/>
          <w:sz w:val="32"/>
          <w:szCs w:val="32"/>
          <w:lang w:val="en-US" w:eastAsia="zh-CN"/>
        </w:rPr>
        <w:t>阵地建设及</w:t>
      </w:r>
      <w:r>
        <w:rPr>
          <w:rFonts w:hint="default" w:ascii="Times New Roman" w:hAnsi="Times New Roman" w:eastAsia="仿宋_GB2312" w:cs="Times New Roman"/>
          <w:b w:val="0"/>
          <w:bCs w:val="0"/>
          <w:color w:val="000000" w:themeColor="text1"/>
          <w:sz w:val="32"/>
          <w:szCs w:val="32"/>
          <w:lang w:eastAsia="zh-CN"/>
        </w:rPr>
        <w:t>党建活动经费</w:t>
      </w:r>
      <w:r>
        <w:rPr>
          <w:rFonts w:hint="default" w:ascii="Times New Roman" w:hAnsi="Times New Roman" w:eastAsia="仿宋_GB2312" w:cs="Times New Roman"/>
          <w:b w:val="0"/>
          <w:bCs w:val="0"/>
          <w:color w:val="000000" w:themeColor="text1"/>
          <w:sz w:val="32"/>
          <w:szCs w:val="32"/>
          <w:lang w:val="en-US" w:eastAsia="zh-CN"/>
        </w:rPr>
        <w:t>5.</w:t>
      </w:r>
      <w:r>
        <w:rPr>
          <w:rFonts w:hint="default" w:ascii="Times New Roman" w:hAnsi="Times New Roman" w:eastAsia="仿宋_GB2312" w:cs="Times New Roman"/>
          <w:b w:val="0"/>
          <w:bCs w:val="0"/>
          <w:color w:val="000000" w:themeColor="text1"/>
          <w:sz w:val="32"/>
          <w:szCs w:val="32"/>
          <w:lang w:eastAsia="zh-CN"/>
        </w:rPr>
        <w:t>2万元。</w:t>
      </w:r>
      <w:r>
        <w:rPr>
          <w:rFonts w:hint="eastAsia" w:ascii="Times New Roman" w:hAnsi="Times New Roman" w:eastAsia="仿宋_GB2312" w:cs="Times New Roman"/>
          <w:b w:val="0"/>
          <w:bCs w:val="0"/>
          <w:color w:val="000000" w:themeColor="text1"/>
          <w:sz w:val="32"/>
          <w:szCs w:val="32"/>
        </w:rPr>
        <w:t>三是年初结转结余</w:t>
      </w:r>
      <w:r>
        <w:rPr>
          <w:rFonts w:hint="eastAsia" w:ascii="Times New Roman" w:hAnsi="Times New Roman" w:eastAsia="仿宋_GB2312" w:cs="Times New Roman"/>
          <w:b w:val="0"/>
          <w:bCs w:val="0"/>
          <w:color w:val="000000" w:themeColor="text1"/>
          <w:sz w:val="32"/>
          <w:szCs w:val="32"/>
          <w:lang w:val="en-US" w:eastAsia="zh-CN"/>
        </w:rPr>
        <w:t>7.51</w:t>
      </w:r>
      <w:r>
        <w:rPr>
          <w:rFonts w:hint="eastAsia" w:ascii="Times New Roman" w:hAnsi="Times New Roman" w:eastAsia="仿宋_GB2312" w:cs="Times New Roman"/>
          <w:b w:val="0"/>
          <w:bCs w:val="0"/>
          <w:color w:val="000000" w:themeColor="text1"/>
          <w:sz w:val="32"/>
          <w:szCs w:val="32"/>
        </w:rPr>
        <w:t>万元；与上年决算相比，收、支总计各增加104.37万元，增长7.09%。其中：财政拨款收入</w:t>
      </w:r>
      <w:r>
        <w:rPr>
          <w:rFonts w:hint="eastAsia" w:ascii="Times New Roman" w:hAnsi="Times New Roman" w:eastAsia="仿宋_GB2312" w:cs="Times New Roman"/>
          <w:b w:val="0"/>
          <w:bCs w:val="0"/>
          <w:color w:val="000000" w:themeColor="text1"/>
          <w:sz w:val="32"/>
          <w:szCs w:val="32"/>
          <w:lang w:val="en-US" w:eastAsia="zh-CN"/>
        </w:rPr>
        <w:t>增加47.35</w:t>
      </w:r>
      <w:r>
        <w:rPr>
          <w:rFonts w:hint="eastAsia" w:ascii="Times New Roman" w:hAnsi="Times New Roman" w:eastAsia="仿宋_GB2312" w:cs="Times New Roman"/>
          <w:b w:val="0"/>
          <w:bCs w:val="0"/>
          <w:color w:val="000000" w:themeColor="text1"/>
          <w:sz w:val="32"/>
          <w:szCs w:val="32"/>
        </w:rPr>
        <w:t>万元，其他收入</w:t>
      </w:r>
      <w:r>
        <w:rPr>
          <w:rFonts w:hint="eastAsia" w:ascii="Times New Roman" w:hAnsi="Times New Roman" w:eastAsia="仿宋_GB2312" w:cs="Times New Roman"/>
          <w:b w:val="0"/>
          <w:bCs w:val="0"/>
          <w:color w:val="000000" w:themeColor="text1"/>
          <w:sz w:val="32"/>
          <w:szCs w:val="32"/>
          <w:lang w:val="en-US" w:eastAsia="zh-CN"/>
        </w:rPr>
        <w:t>增加57.92</w:t>
      </w:r>
      <w:r>
        <w:rPr>
          <w:rFonts w:hint="eastAsia" w:ascii="Times New Roman" w:hAnsi="Times New Roman" w:eastAsia="仿宋_GB2312" w:cs="Times New Roman"/>
          <w:b w:val="0"/>
          <w:bCs w:val="0"/>
          <w:color w:val="000000" w:themeColor="text1"/>
          <w:sz w:val="32"/>
          <w:szCs w:val="32"/>
        </w:rPr>
        <w:t>，年初结转结余减少</w:t>
      </w:r>
      <w:r>
        <w:rPr>
          <w:rFonts w:hint="eastAsia" w:ascii="Times New Roman" w:hAnsi="Times New Roman" w:eastAsia="仿宋_GB2312" w:cs="Times New Roman"/>
          <w:b w:val="0"/>
          <w:bCs w:val="0"/>
          <w:color w:val="000000" w:themeColor="text1"/>
          <w:sz w:val="32"/>
          <w:szCs w:val="32"/>
          <w:lang w:val="en-US" w:eastAsia="zh-CN"/>
        </w:rPr>
        <w:t>0.91</w:t>
      </w:r>
      <w:r>
        <w:rPr>
          <w:rFonts w:hint="eastAsia" w:ascii="Times New Roman" w:hAnsi="Times New Roman" w:eastAsia="仿宋_GB2312" w:cs="Times New Roman"/>
          <w:b w:val="0"/>
          <w:bCs w:val="0"/>
          <w:color w:val="000000" w:themeColor="text1"/>
          <w:sz w:val="32"/>
          <w:szCs w:val="32"/>
        </w:rPr>
        <w:t>万元。</w:t>
      </w:r>
    </w:p>
    <w:p w14:paraId="5FB2ECC5">
      <w:pPr>
        <w:keepNext w:val="0"/>
        <w:keepLines w:val="0"/>
        <w:pageBreakBefore w:val="0"/>
        <w:widowControl/>
        <w:kinsoku/>
        <w:wordWrap/>
        <w:overflowPunct/>
        <w:topLinePunct w:val="0"/>
        <w:autoSpaceDE/>
        <w:autoSpaceDN/>
        <w:bidi w:val="0"/>
        <w:spacing w:beforeAutospacing="0" w:afterAutospacing="0" w:line="560" w:lineRule="exact"/>
        <w:jc w:val="left"/>
        <w:textAlignment w:val="auto"/>
        <w:rPr>
          <w:rFonts w:hint="eastAsia" w:ascii="楷体_GB2312" w:hAnsi="宋体" w:eastAsia="楷体_GB2312" w:cs="楷体_GB2312"/>
          <w:kern w:val="0"/>
          <w:sz w:val="32"/>
          <w:szCs w:val="32"/>
          <w:lang w:bidi="ar"/>
        </w:rPr>
      </w:pPr>
      <w:r>
        <w:rPr>
          <w:rFonts w:ascii="kai_ti_gb2312" w:hAnsi="kai_ti_gb2312" w:eastAsia="kai_ti_gb2312" w:cs="kai_ti_gb2312"/>
          <w:b/>
          <w:bCs/>
          <w:kern w:val="0"/>
          <w:sz w:val="27"/>
          <w:szCs w:val="27"/>
        </w:rPr>
        <w:t xml:space="preserve">    </w:t>
      </w:r>
      <w:r>
        <w:rPr>
          <w:rFonts w:hint="eastAsia" w:ascii="楷体_GB2312" w:hAnsi="宋体" w:eastAsia="楷体_GB2312" w:cs="楷体_GB2312"/>
          <w:kern w:val="0"/>
          <w:sz w:val="32"/>
          <w:szCs w:val="32"/>
          <w:lang w:bidi="ar"/>
        </w:rPr>
        <w:t xml:space="preserve">（一）收入决算总计 </w:t>
      </w:r>
      <w:r>
        <w:rPr>
          <w:rFonts w:hint="default" w:ascii="Times New Roman" w:hAnsi="Times New Roman" w:eastAsia="楷体_GB2312" w:cs="Times New Roman"/>
          <w:kern w:val="0"/>
          <w:sz w:val="32"/>
          <w:szCs w:val="32"/>
          <w:lang w:bidi="ar"/>
        </w:rPr>
        <w:t>1,576.52</w:t>
      </w:r>
      <w:r>
        <w:rPr>
          <w:rFonts w:hint="eastAsia" w:ascii="楷体_GB2312" w:hAnsi="宋体" w:eastAsia="楷体_GB2312" w:cs="楷体_GB2312"/>
          <w:kern w:val="0"/>
          <w:sz w:val="32"/>
          <w:szCs w:val="32"/>
          <w:lang w:bidi="ar"/>
        </w:rPr>
        <w:t>万元。包括：</w:t>
      </w:r>
    </w:p>
    <w:p w14:paraId="76C06ED3">
      <w:pPr>
        <w:keepNext w:val="0"/>
        <w:keepLines w:val="0"/>
        <w:pageBreakBefore w:val="0"/>
        <w:kinsoku/>
        <w:wordWrap/>
        <w:overflowPunct/>
        <w:topLinePunct w:val="0"/>
        <w:autoSpaceDE/>
        <w:autoSpaceDN/>
        <w:bidi w:val="0"/>
        <w:adjustRightInd/>
        <w:snapToGrid w:val="0"/>
        <w:spacing w:beforeAutospacing="0" w:afterAutospacing="0" w:line="560" w:lineRule="exact"/>
        <w:ind w:firstLine="640" w:firstLineChars="200"/>
        <w:jc w:val="both"/>
        <w:textAlignment w:val="auto"/>
        <w:rPr>
          <w:rFonts w:hint="eastAsia" w:ascii="Times New Roman" w:hAnsi="Times New Roman" w:eastAsia="仿宋_GB2312" w:cs="Times New Roman"/>
          <w:b w:val="0"/>
          <w:bCs w:val="0"/>
          <w:color w:val="000000" w:themeColor="text1"/>
          <w:sz w:val="32"/>
          <w:szCs w:val="32"/>
        </w:rPr>
      </w:pPr>
      <w:r>
        <w:rPr>
          <w:rFonts w:hint="eastAsia" w:ascii="Times New Roman" w:hAnsi="Times New Roman" w:eastAsia="仿宋_GB2312" w:cs="Times New Roman"/>
          <w:b w:val="0"/>
          <w:bCs w:val="0"/>
          <w:color w:val="000000" w:themeColor="text1"/>
          <w:sz w:val="32"/>
          <w:szCs w:val="32"/>
        </w:rPr>
        <w:t>1.本年收入决算合计 1,569.01万元。与上年决算相比，增加 105.27万元，增长7.19%，变动原因：</w:t>
      </w:r>
      <w:r>
        <w:rPr>
          <w:rFonts w:hint="default" w:ascii="Times New Roman" w:hAnsi="Times New Roman" w:eastAsia="仿宋_GB2312" w:cs="Times New Roman"/>
          <w:b w:val="0"/>
          <w:bCs w:val="0"/>
          <w:color w:val="000000" w:themeColor="text1"/>
          <w:kern w:val="0"/>
          <w:sz w:val="32"/>
          <w:szCs w:val="32"/>
          <w:highlight w:val="none"/>
          <w:lang w:val="en-US" w:eastAsia="zh-CN" w:bidi="ar"/>
        </w:rPr>
        <w:t>一</w:t>
      </w:r>
      <w:r>
        <w:rPr>
          <w:rFonts w:hint="default" w:ascii="Times New Roman" w:hAnsi="Times New Roman" w:eastAsia="仿宋_GB2312" w:cs="Times New Roman"/>
          <w:b w:val="0"/>
          <w:bCs w:val="0"/>
          <w:color w:val="000000" w:themeColor="text1"/>
          <w:kern w:val="0"/>
          <w:sz w:val="32"/>
          <w:szCs w:val="32"/>
          <w:highlight w:val="none"/>
          <w:lang w:eastAsia="zh-CN" w:bidi="ar"/>
        </w:rPr>
        <w:t>是</w:t>
      </w:r>
      <w:r>
        <w:rPr>
          <w:rFonts w:hint="default" w:ascii="Times New Roman" w:hAnsi="Times New Roman" w:eastAsia="仿宋_GB2312" w:cs="Times New Roman"/>
          <w:b w:val="0"/>
          <w:bCs w:val="0"/>
          <w:color w:val="000000" w:themeColor="text1"/>
          <w:kern w:val="0"/>
          <w:sz w:val="32"/>
          <w:szCs w:val="32"/>
          <w:highlight w:val="none"/>
          <w:lang w:val="en-US" w:eastAsia="zh-CN" w:bidi="ar"/>
        </w:rPr>
        <w:t>2023年</w:t>
      </w:r>
      <w:r>
        <w:rPr>
          <w:rFonts w:hint="default" w:ascii="Times New Roman" w:hAnsi="Times New Roman" w:eastAsia="仿宋_GB2312" w:cs="Times New Roman"/>
          <w:b w:val="0"/>
          <w:bCs w:val="0"/>
          <w:color w:val="000000" w:themeColor="text1"/>
          <w:kern w:val="0"/>
          <w:sz w:val="32"/>
          <w:szCs w:val="32"/>
          <w:highlight w:val="none"/>
          <w:lang w:eastAsia="zh-CN" w:bidi="ar"/>
        </w:rPr>
        <w:t>自治区财政厅</w:t>
      </w:r>
      <w:r>
        <w:rPr>
          <w:rFonts w:hint="default" w:ascii="Times New Roman" w:hAnsi="Times New Roman" w:eastAsia="仿宋_GB2312" w:cs="Times New Roman"/>
          <w:b w:val="0"/>
          <w:bCs w:val="0"/>
          <w:color w:val="000000" w:themeColor="text1"/>
          <w:kern w:val="0"/>
          <w:sz w:val="32"/>
          <w:szCs w:val="32"/>
          <w:highlight w:val="none"/>
          <w:lang w:val="en-US" w:eastAsia="zh-CN" w:bidi="ar"/>
        </w:rPr>
        <w:t>追加</w:t>
      </w:r>
      <w:r>
        <w:rPr>
          <w:rFonts w:hint="default" w:ascii="Times New Roman" w:hAnsi="Times New Roman" w:eastAsia="仿宋_GB2312" w:cs="Times New Roman"/>
          <w:b w:val="0"/>
          <w:bCs w:val="0"/>
          <w:color w:val="000000" w:themeColor="text1"/>
          <w:sz w:val="32"/>
          <w:szCs w:val="32"/>
          <w:highlight w:val="none"/>
          <w:lang w:val="en-US" w:eastAsia="zh-CN"/>
        </w:rPr>
        <w:t>2023年未休假补贴41.8万元</w:t>
      </w:r>
      <w:r>
        <w:rPr>
          <w:rFonts w:hint="default" w:ascii="Times New Roman" w:hAnsi="Times New Roman" w:eastAsia="仿宋_GB2312" w:cs="Times New Roman"/>
          <w:b w:val="0"/>
          <w:bCs w:val="0"/>
          <w:color w:val="000000" w:themeColor="text1"/>
          <w:kern w:val="0"/>
          <w:sz w:val="32"/>
          <w:szCs w:val="32"/>
          <w:highlight w:val="none"/>
          <w:lang w:eastAsia="zh-CN" w:bidi="ar"/>
        </w:rPr>
        <w:t>。</w:t>
      </w:r>
      <w:r>
        <w:rPr>
          <w:rFonts w:hint="default" w:ascii="Times New Roman" w:hAnsi="Times New Roman" w:eastAsia="仿宋_GB2312" w:cs="Times New Roman"/>
          <w:b w:val="0"/>
          <w:bCs w:val="0"/>
          <w:color w:val="000000" w:themeColor="text1"/>
          <w:kern w:val="0"/>
          <w:sz w:val="32"/>
          <w:szCs w:val="32"/>
          <w:highlight w:val="none"/>
          <w:lang w:val="en-US" w:eastAsia="zh-CN" w:bidi="ar"/>
        </w:rPr>
        <w:t>二是</w:t>
      </w:r>
      <w:r>
        <w:rPr>
          <w:rFonts w:hint="default" w:ascii="Times New Roman" w:hAnsi="Times New Roman" w:eastAsia="仿宋_GB2312" w:cs="Times New Roman"/>
          <w:b w:val="0"/>
          <w:bCs w:val="0"/>
          <w:color w:val="000000" w:themeColor="text1"/>
          <w:kern w:val="0"/>
          <w:sz w:val="32"/>
          <w:szCs w:val="32"/>
          <w:highlight w:val="none"/>
          <w:lang w:eastAsia="zh-CN" w:bidi="ar"/>
        </w:rPr>
        <w:t>旗财政拨付我院</w:t>
      </w:r>
      <w:r>
        <w:rPr>
          <w:rFonts w:hint="default" w:ascii="Times New Roman" w:hAnsi="Times New Roman" w:eastAsia="仿宋_GB2312" w:cs="Times New Roman"/>
          <w:b w:val="0"/>
          <w:bCs w:val="0"/>
          <w:color w:val="000000" w:themeColor="text1"/>
          <w:sz w:val="32"/>
          <w:szCs w:val="32"/>
        </w:rPr>
        <w:t>办案业务用房维修改造费用</w:t>
      </w:r>
      <w:r>
        <w:rPr>
          <w:rFonts w:hint="default" w:ascii="Times New Roman" w:hAnsi="Times New Roman" w:eastAsia="仿宋_GB2312" w:cs="Times New Roman"/>
          <w:b w:val="0"/>
          <w:bCs w:val="0"/>
          <w:color w:val="000000" w:themeColor="text1"/>
          <w:kern w:val="0"/>
          <w:sz w:val="32"/>
          <w:szCs w:val="32"/>
          <w:highlight w:val="none"/>
          <w:lang w:val="en-US" w:eastAsia="zh-CN" w:bidi="ar"/>
        </w:rPr>
        <w:t>166.74万</w:t>
      </w:r>
      <w:r>
        <w:rPr>
          <w:rFonts w:hint="default" w:ascii="Times New Roman" w:hAnsi="Times New Roman" w:eastAsia="仿宋_GB2312" w:cs="Times New Roman"/>
          <w:b w:val="0"/>
          <w:bCs w:val="0"/>
          <w:color w:val="000000" w:themeColor="text1"/>
          <w:kern w:val="0"/>
          <w:sz w:val="32"/>
          <w:szCs w:val="32"/>
          <w:highlight w:val="none"/>
          <w:lang w:eastAsia="zh-CN" w:bidi="ar"/>
        </w:rPr>
        <w:t>元</w:t>
      </w:r>
      <w:r>
        <w:rPr>
          <w:rFonts w:hint="default" w:ascii="Times New Roman" w:hAnsi="Times New Roman" w:eastAsia="仿宋_GB2312" w:cs="Times New Roman"/>
          <w:b w:val="0"/>
          <w:bCs w:val="0"/>
          <w:color w:val="000000" w:themeColor="text1"/>
          <w:kern w:val="0"/>
          <w:sz w:val="32"/>
          <w:szCs w:val="32"/>
          <w:highlight w:val="none"/>
          <w:lang w:val="en-US" w:eastAsia="zh-CN" w:bidi="ar"/>
        </w:rPr>
        <w:t>，为一次性项目，于2023年结束，2023年收入相应增加。</w:t>
      </w:r>
    </w:p>
    <w:p w14:paraId="0F6C291B">
      <w:pPr>
        <w:keepNext w:val="0"/>
        <w:keepLines w:val="0"/>
        <w:pageBreakBefore w:val="0"/>
        <w:widowControl/>
        <w:kinsoku/>
        <w:wordWrap/>
        <w:overflowPunct/>
        <w:topLinePunct w:val="0"/>
        <w:autoSpaceDE/>
        <w:autoSpaceDN/>
        <w:bidi w:val="0"/>
        <w:spacing w:beforeAutospacing="0" w:afterAutospacing="0" w:line="560" w:lineRule="exact"/>
        <w:ind w:firstLine="640" w:firstLineChars="200"/>
        <w:textAlignment w:val="auto"/>
        <w:rPr>
          <w:rFonts w:hint="eastAsia" w:ascii="Times New Roman" w:hAnsi="Times New Roman" w:eastAsia="仿宋_GB2312" w:cs="Times New Roman"/>
          <w:b w:val="0"/>
          <w:bCs w:val="0"/>
          <w:color w:val="000000" w:themeColor="text1"/>
          <w:sz w:val="32"/>
          <w:szCs w:val="32"/>
        </w:rPr>
      </w:pPr>
      <w:r>
        <w:rPr>
          <w:rFonts w:hint="eastAsia" w:ascii="Times New Roman" w:hAnsi="Times New Roman" w:eastAsia="仿宋_GB2312" w:cs="Times New Roman"/>
          <w:b w:val="0"/>
          <w:bCs w:val="0"/>
          <w:color w:val="000000" w:themeColor="text1"/>
          <w:sz w:val="32"/>
          <w:szCs w:val="32"/>
        </w:rPr>
        <w:t>2.使用非财政拨款结余和专用结余 0.00万元。与上年决算相比，增加0.00万元，增长</w:t>
      </w:r>
      <w:r>
        <w:rPr>
          <w:rFonts w:hint="eastAsia" w:eastAsia="仿宋_GB2312" w:cs="Times New Roman"/>
          <w:b w:val="0"/>
          <w:bCs w:val="0"/>
          <w:color w:val="000000" w:themeColor="text1"/>
          <w:sz w:val="32"/>
          <w:szCs w:val="32"/>
          <w:lang w:val="en-US" w:eastAsia="zh-CN"/>
        </w:rPr>
        <w:t>0</w:t>
      </w:r>
      <w:r>
        <w:rPr>
          <w:rFonts w:hint="eastAsia" w:ascii="Times New Roman" w:hAnsi="Times New Roman" w:eastAsia="仿宋_GB2312" w:cs="Times New Roman"/>
          <w:b w:val="0"/>
          <w:bCs w:val="0"/>
          <w:color w:val="000000" w:themeColor="text1"/>
          <w:sz w:val="32"/>
          <w:szCs w:val="32"/>
        </w:rPr>
        <w:t>%，变动原因：</w:t>
      </w:r>
      <w:r>
        <w:rPr>
          <w:rFonts w:hint="eastAsia" w:ascii="仿宋_GB2312" w:hAnsi="Verdana" w:eastAsia="仿宋_GB2312" w:cs="仿宋_GB2312"/>
          <w:b w:val="0"/>
          <w:bCs w:val="0"/>
          <w:kern w:val="0"/>
          <w:sz w:val="32"/>
          <w:szCs w:val="32"/>
        </w:rPr>
        <w:t>不存在此项内容</w:t>
      </w:r>
      <w:r>
        <w:rPr>
          <w:rFonts w:hint="eastAsia" w:ascii="Times New Roman" w:hAnsi="Times New Roman" w:eastAsia="仿宋_GB2312" w:cs="Times New Roman"/>
          <w:b w:val="0"/>
          <w:bCs w:val="0"/>
          <w:color w:val="000000" w:themeColor="text1"/>
          <w:sz w:val="32"/>
          <w:szCs w:val="32"/>
        </w:rPr>
        <w:t>。</w:t>
      </w:r>
    </w:p>
    <w:p w14:paraId="45D1852A">
      <w:pPr>
        <w:keepNext w:val="0"/>
        <w:keepLines w:val="0"/>
        <w:pageBreakBefore w:val="0"/>
        <w:widowControl w:val="0"/>
        <w:kinsoku/>
        <w:wordWrap/>
        <w:overflowPunct/>
        <w:topLinePunct w:val="0"/>
        <w:autoSpaceDE/>
        <w:autoSpaceDN/>
        <w:bidi w:val="0"/>
        <w:adjustRightInd/>
        <w:snapToGrid w:val="0"/>
        <w:spacing w:afterAutospacing="0" w:line="560" w:lineRule="exact"/>
        <w:ind w:firstLine="640" w:firstLineChars="200"/>
        <w:jc w:val="both"/>
        <w:textAlignment w:val="auto"/>
        <w:rPr>
          <w:rFonts w:hint="eastAsia" w:ascii="Times New Roman" w:hAnsi="Times New Roman" w:eastAsia="仿宋_GB2312" w:cs="Times New Roman"/>
          <w:b w:val="0"/>
          <w:bCs w:val="0"/>
          <w:color w:val="000000" w:themeColor="text1"/>
          <w:sz w:val="32"/>
          <w:szCs w:val="32"/>
        </w:rPr>
      </w:pPr>
      <w:r>
        <w:rPr>
          <w:rFonts w:hint="eastAsia" w:ascii="Times New Roman" w:hAnsi="Times New Roman" w:eastAsia="仿宋_GB2312" w:cs="Times New Roman"/>
          <w:b w:val="0"/>
          <w:bCs w:val="0"/>
          <w:color w:val="000000" w:themeColor="text1"/>
          <w:sz w:val="32"/>
          <w:szCs w:val="32"/>
        </w:rPr>
        <w:t>3.年初结转和结余 7.51万元。与上年决算相比，减少0.91万元，减少10.76%，变动原因：</w:t>
      </w:r>
      <w:r>
        <w:rPr>
          <w:rFonts w:hint="eastAsia" w:ascii="仿宋_GB2312" w:hAnsi="仿宋_GB2312" w:eastAsia="仿宋_GB2312" w:cs="仿宋_GB2312"/>
          <w:b w:val="0"/>
          <w:bCs w:val="0"/>
          <w:color w:val="000000" w:themeColor="text1"/>
          <w:sz w:val="32"/>
          <w:szCs w:val="32"/>
          <w:lang w:val="en-US" w:eastAsia="zh-CN"/>
        </w:rPr>
        <w:t>2022</w:t>
      </w:r>
      <w:r>
        <w:rPr>
          <w:rFonts w:hint="eastAsia" w:ascii="仿宋_GB2312" w:hAnsi="仿宋_GB2312" w:eastAsia="仿宋_GB2312" w:cs="仿宋_GB2312"/>
          <w:b w:val="0"/>
          <w:bCs w:val="0"/>
          <w:color w:val="000000" w:themeColor="text1"/>
          <w:sz w:val="32"/>
          <w:szCs w:val="32"/>
          <w:lang w:eastAsia="zh-CN"/>
        </w:rPr>
        <w:t>年支出</w:t>
      </w:r>
      <w:r>
        <w:rPr>
          <w:rFonts w:hint="eastAsia" w:ascii="仿宋_GB2312" w:hAnsi="仿宋_GB2312" w:eastAsia="仿宋_GB2312" w:cs="仿宋_GB2312"/>
          <w:b w:val="0"/>
          <w:bCs w:val="0"/>
          <w:color w:val="000000" w:themeColor="text1"/>
          <w:sz w:val="32"/>
          <w:szCs w:val="32"/>
          <w:lang w:val="en-US" w:eastAsia="zh-CN"/>
        </w:rPr>
        <w:t>2020年</w:t>
      </w:r>
      <w:r>
        <w:rPr>
          <w:rFonts w:hint="eastAsia" w:ascii="仿宋_GB2312" w:hAnsi="仿宋_GB2312" w:eastAsia="仿宋_GB2312" w:cs="仿宋_GB2312"/>
          <w:b w:val="0"/>
          <w:bCs w:val="0"/>
          <w:color w:val="000000" w:themeColor="text1"/>
          <w:sz w:val="32"/>
          <w:szCs w:val="32"/>
        </w:rPr>
        <w:t>旗组织部</w:t>
      </w:r>
      <w:r>
        <w:rPr>
          <w:rFonts w:hint="eastAsia" w:ascii="仿宋_GB2312" w:hAnsi="仿宋_GB2312" w:eastAsia="仿宋_GB2312" w:cs="仿宋_GB2312"/>
          <w:b w:val="0"/>
          <w:bCs w:val="0"/>
          <w:color w:val="000000" w:themeColor="text1"/>
          <w:sz w:val="32"/>
          <w:szCs w:val="32"/>
          <w:lang w:val="en-US" w:eastAsia="zh-CN"/>
        </w:rPr>
        <w:t>拨付</w:t>
      </w:r>
      <w:r>
        <w:rPr>
          <w:rFonts w:hint="eastAsia" w:ascii="仿宋_GB2312" w:hAnsi="仿宋_GB2312" w:eastAsia="仿宋_GB2312" w:cs="仿宋_GB2312"/>
          <w:b w:val="0"/>
          <w:bCs w:val="0"/>
          <w:color w:val="000000" w:themeColor="text1"/>
          <w:sz w:val="32"/>
          <w:szCs w:val="32"/>
        </w:rPr>
        <w:t>“获评全国文明单位”奖励</w:t>
      </w:r>
      <w:r>
        <w:rPr>
          <w:rFonts w:hint="eastAsia" w:ascii="仿宋_GB2312" w:hAnsi="仿宋_GB2312" w:eastAsia="仿宋_GB2312" w:cs="仿宋_GB2312"/>
          <w:b w:val="0"/>
          <w:bCs w:val="0"/>
          <w:color w:val="000000" w:themeColor="text1"/>
          <w:sz w:val="32"/>
          <w:szCs w:val="32"/>
          <w:lang w:val="en-US" w:eastAsia="zh-CN"/>
        </w:rPr>
        <w:t>资金0.9</w:t>
      </w:r>
      <w:r>
        <w:rPr>
          <w:rFonts w:hint="eastAsia" w:ascii="仿宋_GB2312" w:hAnsi="仿宋_GB2312" w:eastAsia="仿宋_GB2312" w:cs="仿宋_GB2312"/>
          <w:b w:val="0"/>
          <w:bCs w:val="0"/>
          <w:color w:val="000000" w:themeColor="text1"/>
          <w:sz w:val="32"/>
          <w:szCs w:val="32"/>
          <w:lang w:eastAsia="zh-CN"/>
        </w:rPr>
        <w:t>万</w:t>
      </w:r>
      <w:r>
        <w:rPr>
          <w:rFonts w:hint="eastAsia" w:ascii="仿宋_GB2312" w:hAnsi="仿宋_GB2312" w:eastAsia="仿宋_GB2312" w:cs="仿宋_GB2312"/>
          <w:b w:val="0"/>
          <w:bCs w:val="0"/>
          <w:color w:val="000000" w:themeColor="text1"/>
          <w:sz w:val="32"/>
          <w:szCs w:val="32"/>
        </w:rPr>
        <w:t>元</w:t>
      </w:r>
      <w:r>
        <w:rPr>
          <w:rFonts w:hint="eastAsia" w:ascii="仿宋_GB2312" w:hAnsi="仿宋_GB2312" w:eastAsia="仿宋_GB2312" w:cs="仿宋_GB2312"/>
          <w:b w:val="0"/>
          <w:bCs w:val="0"/>
          <w:color w:val="000000" w:themeColor="text1"/>
          <w:sz w:val="32"/>
          <w:szCs w:val="32"/>
          <w:lang w:eastAsia="zh-CN"/>
        </w:rPr>
        <w:t>。</w:t>
      </w:r>
    </w:p>
    <w:p w14:paraId="0882A993">
      <w:pPr>
        <w:keepNext w:val="0"/>
        <w:keepLines w:val="0"/>
        <w:pageBreakBefore w:val="0"/>
        <w:widowControl/>
        <w:kinsoku/>
        <w:wordWrap/>
        <w:overflowPunct/>
        <w:topLinePunct w:val="0"/>
        <w:autoSpaceDE/>
        <w:autoSpaceDN/>
        <w:bidi w:val="0"/>
        <w:spacing w:beforeAutospacing="0" w:afterAutospacing="0" w:line="560" w:lineRule="exact"/>
        <w:jc w:val="left"/>
        <w:textAlignment w:val="auto"/>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xml:space="preserve">    </w:t>
      </w:r>
      <w:r>
        <w:rPr>
          <w:rFonts w:hint="eastAsia" w:ascii="楷体_GB2312" w:hAnsi="宋体" w:eastAsia="楷体_GB2312" w:cs="楷体_GB2312"/>
          <w:kern w:val="0"/>
          <w:sz w:val="32"/>
          <w:szCs w:val="32"/>
          <w:lang w:bidi="ar"/>
        </w:rPr>
        <w:t>（二）支出决算</w:t>
      </w:r>
      <w:r>
        <w:rPr>
          <w:rFonts w:hint="default" w:ascii="Times New Roman" w:hAnsi="Times New Roman" w:eastAsia="楷体_GB2312" w:cs="Times New Roman"/>
          <w:kern w:val="0"/>
          <w:sz w:val="32"/>
          <w:szCs w:val="32"/>
          <w:lang w:bidi="ar"/>
        </w:rPr>
        <w:t>总计 1,576.52万元</w:t>
      </w:r>
      <w:r>
        <w:rPr>
          <w:rFonts w:hint="eastAsia" w:ascii="楷体_GB2312" w:hAnsi="宋体" w:eastAsia="楷体_GB2312" w:cs="楷体_GB2312"/>
          <w:kern w:val="0"/>
          <w:sz w:val="32"/>
          <w:szCs w:val="32"/>
          <w:lang w:bidi="ar"/>
        </w:rPr>
        <w:t>。包括：</w:t>
      </w:r>
    </w:p>
    <w:p w14:paraId="1E3AF3FE">
      <w:pPr>
        <w:keepNext w:val="0"/>
        <w:keepLines w:val="0"/>
        <w:pageBreakBefore w:val="0"/>
        <w:kinsoku/>
        <w:wordWrap/>
        <w:overflowPunct/>
        <w:topLinePunct w:val="0"/>
        <w:autoSpaceDE/>
        <w:autoSpaceDN/>
        <w:bidi w:val="0"/>
        <w:adjustRightInd/>
        <w:snapToGrid w:val="0"/>
        <w:spacing w:beforeAutospacing="0" w:afterAutospacing="0" w:line="560" w:lineRule="exact"/>
        <w:ind w:firstLine="640" w:firstLineChars="200"/>
        <w:jc w:val="both"/>
        <w:textAlignment w:val="auto"/>
        <w:rPr>
          <w:rFonts w:hint="eastAsia" w:ascii="Times New Roman" w:hAnsi="Times New Roman" w:eastAsia="仿宋_GB2312" w:cs="Times New Roman"/>
          <w:b w:val="0"/>
          <w:bCs w:val="0"/>
          <w:color w:val="000000" w:themeColor="text1"/>
          <w:sz w:val="32"/>
          <w:szCs w:val="32"/>
        </w:rPr>
      </w:pPr>
      <w:r>
        <w:rPr>
          <w:rFonts w:hint="eastAsia" w:ascii="Times New Roman" w:hAnsi="Times New Roman" w:eastAsia="仿宋_GB2312" w:cs="Times New Roman"/>
          <w:b w:val="0"/>
          <w:bCs w:val="0"/>
          <w:color w:val="000000" w:themeColor="text1"/>
          <w:sz w:val="32"/>
          <w:szCs w:val="32"/>
        </w:rPr>
        <w:t>1.本年支出决算合计 1,567.89万元。与上年决算相比，增加 103.25万元，增长7.05%，变动原因：</w:t>
      </w:r>
      <w:r>
        <w:rPr>
          <w:rFonts w:hint="default" w:ascii="Times New Roman" w:hAnsi="Times New Roman" w:eastAsia="仿宋_GB2312" w:cs="Times New Roman"/>
          <w:b w:val="0"/>
          <w:bCs w:val="0"/>
          <w:color w:val="000000" w:themeColor="text1"/>
          <w:kern w:val="0"/>
          <w:sz w:val="32"/>
          <w:szCs w:val="32"/>
          <w:highlight w:val="none"/>
          <w:lang w:val="en-US" w:eastAsia="zh-CN" w:bidi="ar"/>
        </w:rPr>
        <w:t>一</w:t>
      </w:r>
      <w:r>
        <w:rPr>
          <w:rFonts w:hint="default" w:ascii="Times New Roman" w:hAnsi="Times New Roman" w:eastAsia="仿宋_GB2312" w:cs="Times New Roman"/>
          <w:b w:val="0"/>
          <w:bCs w:val="0"/>
          <w:color w:val="000000" w:themeColor="text1"/>
          <w:kern w:val="0"/>
          <w:sz w:val="32"/>
          <w:szCs w:val="32"/>
          <w:highlight w:val="none"/>
          <w:lang w:eastAsia="zh-CN" w:bidi="ar"/>
        </w:rPr>
        <w:t>是</w:t>
      </w:r>
      <w:r>
        <w:rPr>
          <w:rFonts w:hint="default" w:ascii="Times New Roman" w:hAnsi="Times New Roman" w:eastAsia="仿宋_GB2312" w:cs="Times New Roman"/>
          <w:b w:val="0"/>
          <w:bCs w:val="0"/>
          <w:color w:val="000000" w:themeColor="text1"/>
          <w:kern w:val="0"/>
          <w:sz w:val="32"/>
          <w:szCs w:val="32"/>
          <w:highlight w:val="none"/>
          <w:lang w:val="en-US" w:eastAsia="zh-CN" w:bidi="ar"/>
        </w:rPr>
        <w:t>2023年</w:t>
      </w:r>
      <w:r>
        <w:rPr>
          <w:rFonts w:hint="default" w:ascii="Times New Roman" w:hAnsi="Times New Roman" w:eastAsia="仿宋_GB2312" w:cs="Times New Roman"/>
          <w:b w:val="0"/>
          <w:bCs w:val="0"/>
          <w:color w:val="000000" w:themeColor="text1"/>
          <w:kern w:val="0"/>
          <w:sz w:val="32"/>
          <w:szCs w:val="32"/>
          <w:highlight w:val="none"/>
          <w:lang w:eastAsia="zh-CN" w:bidi="ar"/>
        </w:rPr>
        <w:t>自治区财政厅</w:t>
      </w:r>
      <w:r>
        <w:rPr>
          <w:rFonts w:hint="default" w:ascii="Times New Roman" w:hAnsi="Times New Roman" w:eastAsia="仿宋_GB2312" w:cs="Times New Roman"/>
          <w:b w:val="0"/>
          <w:bCs w:val="0"/>
          <w:color w:val="000000" w:themeColor="text1"/>
          <w:kern w:val="0"/>
          <w:sz w:val="32"/>
          <w:szCs w:val="32"/>
          <w:highlight w:val="none"/>
          <w:lang w:val="en-US" w:eastAsia="zh-CN" w:bidi="ar"/>
        </w:rPr>
        <w:t>追加</w:t>
      </w:r>
      <w:r>
        <w:rPr>
          <w:rFonts w:hint="default" w:ascii="Times New Roman" w:hAnsi="Times New Roman" w:eastAsia="仿宋_GB2312" w:cs="Times New Roman"/>
          <w:b w:val="0"/>
          <w:bCs w:val="0"/>
          <w:color w:val="000000" w:themeColor="text1"/>
          <w:sz w:val="32"/>
          <w:szCs w:val="32"/>
          <w:highlight w:val="none"/>
          <w:lang w:val="en-US" w:eastAsia="zh-CN"/>
        </w:rPr>
        <w:t>2023年未休假补贴41.8万元</w:t>
      </w:r>
      <w:r>
        <w:rPr>
          <w:rFonts w:hint="default" w:ascii="Times New Roman" w:hAnsi="Times New Roman" w:eastAsia="仿宋_GB2312" w:cs="Times New Roman"/>
          <w:b w:val="0"/>
          <w:bCs w:val="0"/>
          <w:color w:val="000000" w:themeColor="text1"/>
          <w:kern w:val="0"/>
          <w:sz w:val="32"/>
          <w:szCs w:val="32"/>
          <w:highlight w:val="none"/>
          <w:lang w:eastAsia="zh-CN" w:bidi="ar"/>
        </w:rPr>
        <w:t>。</w:t>
      </w:r>
      <w:r>
        <w:rPr>
          <w:rFonts w:hint="default" w:ascii="Times New Roman" w:hAnsi="Times New Roman" w:eastAsia="仿宋_GB2312" w:cs="Times New Roman"/>
          <w:b w:val="0"/>
          <w:bCs w:val="0"/>
          <w:color w:val="000000" w:themeColor="text1"/>
          <w:kern w:val="0"/>
          <w:sz w:val="32"/>
          <w:szCs w:val="32"/>
          <w:highlight w:val="none"/>
          <w:lang w:val="en-US" w:eastAsia="zh-CN" w:bidi="ar"/>
        </w:rPr>
        <w:t>二是</w:t>
      </w:r>
      <w:r>
        <w:rPr>
          <w:rFonts w:hint="default" w:ascii="Times New Roman" w:hAnsi="Times New Roman" w:eastAsia="仿宋_GB2312" w:cs="Times New Roman"/>
          <w:b w:val="0"/>
          <w:bCs w:val="0"/>
          <w:color w:val="000000" w:themeColor="text1"/>
          <w:kern w:val="0"/>
          <w:sz w:val="32"/>
          <w:szCs w:val="32"/>
          <w:highlight w:val="none"/>
          <w:lang w:eastAsia="zh-CN" w:bidi="ar"/>
        </w:rPr>
        <w:t>旗财政拨付我院</w:t>
      </w:r>
      <w:r>
        <w:rPr>
          <w:rFonts w:hint="default" w:ascii="Times New Roman" w:hAnsi="Times New Roman" w:eastAsia="仿宋_GB2312" w:cs="Times New Roman"/>
          <w:b w:val="0"/>
          <w:bCs w:val="0"/>
          <w:color w:val="000000" w:themeColor="text1"/>
          <w:sz w:val="32"/>
          <w:szCs w:val="32"/>
        </w:rPr>
        <w:t>办案业务用房维修改造费用</w:t>
      </w:r>
      <w:r>
        <w:rPr>
          <w:rFonts w:hint="default" w:ascii="Times New Roman" w:hAnsi="Times New Roman" w:eastAsia="仿宋_GB2312" w:cs="Times New Roman"/>
          <w:b w:val="0"/>
          <w:bCs w:val="0"/>
          <w:color w:val="000000" w:themeColor="text1"/>
          <w:kern w:val="0"/>
          <w:sz w:val="32"/>
          <w:szCs w:val="32"/>
          <w:highlight w:val="none"/>
          <w:lang w:val="en-US" w:eastAsia="zh-CN" w:bidi="ar"/>
        </w:rPr>
        <w:t>166.74万</w:t>
      </w:r>
      <w:r>
        <w:rPr>
          <w:rFonts w:hint="default" w:ascii="Times New Roman" w:hAnsi="Times New Roman" w:eastAsia="仿宋_GB2312" w:cs="Times New Roman"/>
          <w:b w:val="0"/>
          <w:bCs w:val="0"/>
          <w:color w:val="000000" w:themeColor="text1"/>
          <w:kern w:val="0"/>
          <w:sz w:val="32"/>
          <w:szCs w:val="32"/>
          <w:highlight w:val="none"/>
          <w:lang w:eastAsia="zh-CN" w:bidi="ar"/>
        </w:rPr>
        <w:t>元</w:t>
      </w:r>
      <w:r>
        <w:rPr>
          <w:rFonts w:hint="default" w:ascii="Times New Roman" w:hAnsi="Times New Roman" w:eastAsia="仿宋_GB2312" w:cs="Times New Roman"/>
          <w:b w:val="0"/>
          <w:bCs w:val="0"/>
          <w:color w:val="000000" w:themeColor="text1"/>
          <w:kern w:val="0"/>
          <w:sz w:val="32"/>
          <w:szCs w:val="32"/>
          <w:highlight w:val="none"/>
          <w:lang w:val="en-US" w:eastAsia="zh-CN" w:bidi="ar"/>
        </w:rPr>
        <w:t>，为一次性项目，于2023年支出完毕，2023年支出相应增加</w:t>
      </w:r>
      <w:r>
        <w:rPr>
          <w:rFonts w:hint="eastAsia" w:ascii="Times New Roman" w:hAnsi="Times New Roman" w:eastAsia="仿宋_GB2312" w:cs="Times New Roman"/>
          <w:b w:val="0"/>
          <w:bCs w:val="0"/>
          <w:color w:val="000000" w:themeColor="text1"/>
          <w:sz w:val="32"/>
          <w:szCs w:val="32"/>
        </w:rPr>
        <w:t>。</w:t>
      </w:r>
    </w:p>
    <w:p w14:paraId="77C064BA">
      <w:pPr>
        <w:keepNext w:val="0"/>
        <w:keepLines w:val="0"/>
        <w:pageBreakBefore w:val="0"/>
        <w:widowControl w:val="0"/>
        <w:suppressLineNumbers w:val="0"/>
        <w:kinsoku/>
        <w:wordWrap/>
        <w:overflowPunct/>
        <w:topLinePunct w:val="0"/>
        <w:autoSpaceDE w:val="0"/>
        <w:autoSpaceDN/>
        <w:bidi w:val="0"/>
        <w:snapToGrid w:val="0"/>
        <w:spacing w:line="560" w:lineRule="exact"/>
        <w:ind w:firstLine="640" w:firstLineChars="200"/>
        <w:jc w:val="both"/>
        <w:textAlignment w:val="auto"/>
        <w:rPr>
          <w:rFonts w:hint="eastAsia" w:ascii="Times New Roman" w:hAnsi="Times New Roman" w:eastAsia="仿宋_GB2312" w:cs="Times New Roman"/>
          <w:b w:val="0"/>
          <w:bCs w:val="0"/>
          <w:color w:val="000000" w:themeColor="text1"/>
          <w:sz w:val="32"/>
          <w:szCs w:val="32"/>
        </w:rPr>
      </w:pPr>
      <w:r>
        <w:rPr>
          <w:rFonts w:hint="eastAsia" w:ascii="Times New Roman" w:hAnsi="Times New Roman" w:eastAsia="仿宋_GB2312" w:cs="Times New Roman"/>
          <w:b w:val="0"/>
          <w:bCs w:val="0"/>
          <w:color w:val="000000" w:themeColor="text1"/>
          <w:sz w:val="32"/>
          <w:szCs w:val="32"/>
        </w:rPr>
        <w:t>2.结余分配 0.00万元。与上年决算相比，增加0.00万元，增长</w:t>
      </w:r>
      <w:r>
        <w:rPr>
          <w:rFonts w:hint="eastAsia" w:eastAsia="仿宋_GB2312" w:cs="Times New Roman"/>
          <w:b w:val="0"/>
          <w:bCs w:val="0"/>
          <w:color w:val="000000" w:themeColor="text1"/>
          <w:sz w:val="32"/>
          <w:szCs w:val="32"/>
          <w:lang w:val="en-US" w:eastAsia="zh-CN"/>
        </w:rPr>
        <w:t>0</w:t>
      </w:r>
      <w:r>
        <w:rPr>
          <w:rFonts w:hint="eastAsia" w:ascii="Times New Roman" w:hAnsi="Times New Roman" w:eastAsia="仿宋_GB2312" w:cs="Times New Roman"/>
          <w:b w:val="0"/>
          <w:bCs w:val="0"/>
          <w:color w:val="000000" w:themeColor="text1"/>
          <w:sz w:val="32"/>
          <w:szCs w:val="32"/>
        </w:rPr>
        <w:t>%，变动原因：</w:t>
      </w:r>
      <w:r>
        <w:rPr>
          <w:rFonts w:hint="eastAsia" w:ascii="仿宋_GB2312" w:hAnsi="Verdana" w:eastAsia="仿宋_GB2312" w:cs="仿宋_GB2312"/>
          <w:b w:val="0"/>
          <w:bCs w:val="0"/>
          <w:kern w:val="0"/>
          <w:sz w:val="32"/>
          <w:szCs w:val="32"/>
        </w:rPr>
        <w:t>不存在此项内容</w:t>
      </w:r>
      <w:r>
        <w:rPr>
          <w:rFonts w:hint="eastAsia" w:ascii="Times New Roman" w:hAnsi="Times New Roman" w:eastAsia="仿宋_GB2312" w:cs="Times New Roman"/>
          <w:b w:val="0"/>
          <w:bCs w:val="0"/>
          <w:color w:val="000000" w:themeColor="text1"/>
          <w:sz w:val="32"/>
          <w:szCs w:val="32"/>
        </w:rPr>
        <w:t>。</w:t>
      </w:r>
    </w:p>
    <w:p w14:paraId="11D14DD4">
      <w:pPr>
        <w:keepNext w:val="0"/>
        <w:keepLines w:val="0"/>
        <w:pageBreakBefore w:val="0"/>
        <w:widowControl w:val="0"/>
        <w:kinsoku/>
        <w:wordWrap/>
        <w:overflowPunct/>
        <w:topLinePunct w:val="0"/>
        <w:autoSpaceDE/>
        <w:autoSpaceDN/>
        <w:bidi w:val="0"/>
        <w:adjustRightInd/>
        <w:snapToGrid w:val="0"/>
        <w:spacing w:afterAutospacing="0" w:line="560" w:lineRule="exact"/>
        <w:ind w:left="0" w:firstLine="640" w:firstLineChars="200"/>
        <w:jc w:val="both"/>
        <w:textAlignment w:val="auto"/>
        <w:rPr>
          <w:rFonts w:hint="eastAsia" w:ascii="Times New Roman" w:hAnsi="Times New Roman" w:eastAsia="仿宋_GB2312" w:cs="Times New Roman"/>
          <w:b w:val="0"/>
          <w:bCs w:val="0"/>
          <w:color w:val="000000" w:themeColor="text1"/>
          <w:sz w:val="32"/>
          <w:szCs w:val="32"/>
        </w:rPr>
      </w:pPr>
      <w:r>
        <w:rPr>
          <w:rFonts w:hint="eastAsia" w:ascii="Times New Roman" w:hAnsi="Times New Roman" w:eastAsia="仿宋_GB2312" w:cs="Times New Roman"/>
          <w:b w:val="0"/>
          <w:bCs w:val="0"/>
          <w:color w:val="000000" w:themeColor="text1"/>
          <w:sz w:val="32"/>
          <w:szCs w:val="32"/>
        </w:rPr>
        <w:t>3.年末结转和结余 8.63万元。结转和结余事项：</w:t>
      </w:r>
      <w:r>
        <w:rPr>
          <w:rFonts w:hint="eastAsia" w:ascii="仿宋_GB2312" w:hAnsi="Verdana" w:eastAsia="仿宋_GB2312" w:cs="仿宋_GB2312"/>
          <w:b w:val="0"/>
          <w:bCs w:val="0"/>
          <w:kern w:val="0"/>
          <w:sz w:val="32"/>
          <w:szCs w:val="32"/>
        </w:rPr>
        <w:t>主要是银行存款、现金以及以前年度其他应收个人款</w:t>
      </w:r>
      <w:r>
        <w:rPr>
          <w:rFonts w:hint="eastAsia" w:ascii="Times New Roman" w:hAnsi="Times New Roman" w:eastAsia="仿宋_GB2312" w:cs="Times New Roman"/>
          <w:b w:val="0"/>
          <w:bCs w:val="0"/>
          <w:color w:val="000000" w:themeColor="text1"/>
          <w:sz w:val="32"/>
          <w:szCs w:val="32"/>
        </w:rPr>
        <w:t>。与上年决算相比，增加 1.12万元，增长14.90%，变动原因：</w:t>
      </w:r>
      <w:r>
        <w:rPr>
          <w:rFonts w:hint="default" w:ascii="Times New Roman" w:hAnsi="Times New Roman" w:eastAsia="仿宋_GB2312" w:cs="Times New Roman"/>
          <w:b w:val="0"/>
          <w:bCs w:val="0"/>
          <w:color w:val="000000" w:themeColor="text1"/>
          <w:sz w:val="32"/>
          <w:szCs w:val="32"/>
          <w:lang w:val="en-US" w:eastAsia="zh-CN"/>
        </w:rPr>
        <w:t>2023</w:t>
      </w:r>
      <w:r>
        <w:rPr>
          <w:rFonts w:hint="default" w:ascii="Times New Roman" w:hAnsi="Times New Roman" w:eastAsia="仿宋_GB2312" w:cs="Times New Roman"/>
          <w:b w:val="0"/>
          <w:bCs w:val="0"/>
          <w:color w:val="000000" w:themeColor="text1"/>
          <w:sz w:val="32"/>
          <w:szCs w:val="32"/>
          <w:lang w:eastAsia="zh-CN"/>
        </w:rPr>
        <w:t>年</w:t>
      </w:r>
      <w:r>
        <w:rPr>
          <w:rFonts w:hint="default" w:ascii="Times New Roman" w:hAnsi="Times New Roman" w:eastAsia="仿宋_GB2312" w:cs="Times New Roman"/>
          <w:b w:val="0"/>
          <w:bCs w:val="0"/>
          <w:color w:val="000000" w:themeColor="text1"/>
          <w:sz w:val="32"/>
          <w:szCs w:val="32"/>
          <w:highlight w:val="none"/>
          <w:lang w:eastAsia="zh-CN"/>
        </w:rPr>
        <w:t>旗财政拨付</w:t>
      </w:r>
      <w:r>
        <w:rPr>
          <w:rFonts w:hint="default" w:ascii="Times New Roman" w:hAnsi="Times New Roman" w:eastAsia="仿宋_GB2312" w:cs="Times New Roman"/>
          <w:b w:val="0"/>
          <w:bCs w:val="0"/>
          <w:color w:val="000000" w:themeColor="text1"/>
          <w:sz w:val="32"/>
          <w:szCs w:val="32"/>
          <w:highlight w:val="none"/>
          <w:lang w:val="en-US" w:eastAsia="zh-CN"/>
        </w:rPr>
        <w:t>人才载体平台建设运行经费</w:t>
      </w:r>
      <w:r>
        <w:rPr>
          <w:rFonts w:hint="default" w:ascii="Times New Roman" w:hAnsi="Times New Roman" w:eastAsia="仿宋_GB2312" w:cs="Times New Roman"/>
          <w:b w:val="0"/>
          <w:bCs w:val="0"/>
          <w:color w:val="000000" w:themeColor="text1"/>
          <w:sz w:val="32"/>
          <w:szCs w:val="32"/>
          <w:lang w:val="en-US" w:eastAsia="zh-CN"/>
        </w:rPr>
        <w:t>2万</w:t>
      </w:r>
      <w:r>
        <w:rPr>
          <w:rFonts w:hint="default" w:ascii="Times New Roman" w:hAnsi="Times New Roman" w:eastAsia="仿宋_GB2312" w:cs="Times New Roman"/>
          <w:b w:val="0"/>
          <w:bCs w:val="0"/>
          <w:color w:val="000000" w:themeColor="text1"/>
          <w:sz w:val="32"/>
          <w:szCs w:val="32"/>
        </w:rPr>
        <w:t>元</w:t>
      </w:r>
      <w:r>
        <w:rPr>
          <w:rFonts w:hint="default" w:ascii="Times New Roman" w:hAnsi="Times New Roman" w:eastAsia="仿宋_GB2312" w:cs="Times New Roman"/>
          <w:b w:val="0"/>
          <w:bCs w:val="0"/>
          <w:color w:val="000000" w:themeColor="text1"/>
          <w:sz w:val="32"/>
          <w:szCs w:val="32"/>
          <w:lang w:eastAsia="zh-CN"/>
        </w:rPr>
        <w:t>，</w:t>
      </w:r>
      <w:r>
        <w:rPr>
          <w:rFonts w:hint="default" w:ascii="Times New Roman" w:hAnsi="Times New Roman" w:eastAsia="仿宋_GB2312" w:cs="Times New Roman"/>
          <w:b w:val="0"/>
          <w:bCs w:val="0"/>
          <w:color w:val="000000" w:themeColor="text1"/>
          <w:sz w:val="32"/>
          <w:szCs w:val="32"/>
          <w:lang w:val="en-US" w:eastAsia="zh-CN"/>
        </w:rPr>
        <w:t>本年支出0.2万元，结转1.8万元将于2024年支出</w:t>
      </w:r>
      <w:r>
        <w:rPr>
          <w:rFonts w:hint="eastAsia" w:ascii="Times New Roman" w:hAnsi="Times New Roman" w:eastAsia="仿宋_GB2312" w:cs="Times New Roman"/>
          <w:b w:val="0"/>
          <w:bCs w:val="0"/>
          <w:color w:val="000000" w:themeColor="text1"/>
          <w:sz w:val="32"/>
          <w:szCs w:val="32"/>
        </w:rPr>
        <w:t>。</w:t>
      </w:r>
    </w:p>
    <w:p w14:paraId="4A45B055">
      <w:pPr>
        <w:keepNext w:val="0"/>
        <w:keepLines w:val="0"/>
        <w:pageBreakBefore w:val="0"/>
        <w:widowControl w:val="0"/>
        <w:kinsoku/>
        <w:wordWrap/>
        <w:overflowPunct/>
        <w:topLinePunct w:val="0"/>
        <w:autoSpaceDE/>
        <w:autoSpaceDN/>
        <w:bidi w:val="0"/>
        <w:adjustRightInd/>
        <w:snapToGrid w:val="0"/>
        <w:spacing w:afterAutospacing="0" w:line="560" w:lineRule="exact"/>
        <w:ind w:left="0" w:firstLine="542" w:firstLineChars="200"/>
        <w:jc w:val="both"/>
        <w:textAlignment w:val="auto"/>
        <w:rPr>
          <w:rFonts w:hint="eastAsia" w:ascii="Calibri" w:hAnsi="Calibri" w:cs="Calibri"/>
          <w:b/>
          <w:bCs/>
          <w:kern w:val="0"/>
          <w:sz w:val="27"/>
          <w:szCs w:val="27"/>
          <w:lang w:val="en-US" w:eastAsia="zh-CN"/>
        </w:rPr>
      </w:pPr>
      <w:r>
        <w:rPr>
          <w:rFonts w:ascii="黑体" w:hAnsi="黑体" w:eastAsia="黑体" w:cs="黑体"/>
          <w:b/>
          <w:bCs/>
          <w:kern w:val="0"/>
          <w:sz w:val="27"/>
          <w:szCs w:val="27"/>
        </w:rPr>
        <w:t xml:space="preserve"> </w:t>
      </w:r>
      <w:r>
        <w:rPr>
          <w:rFonts w:hint="eastAsia" w:ascii="黑体" w:hAnsi="黑体" w:eastAsia="黑体" w:cs="Times New Roman"/>
          <w:sz w:val="32"/>
          <w:szCs w:val="32"/>
          <w:lang w:val="en-US" w:eastAsia="zh-CN"/>
        </w:rPr>
        <w:t>二、收入决算情况说明</w:t>
      </w:r>
    </w:p>
    <w:p w14:paraId="009BCBAF">
      <w:pPr>
        <w:keepNext w:val="0"/>
        <w:keepLines w:val="0"/>
        <w:pageBreakBefore w:val="0"/>
        <w:widowControl w:val="0"/>
        <w:kinsoku/>
        <w:wordWrap/>
        <w:overflowPunct/>
        <w:topLinePunct w:val="0"/>
        <w:autoSpaceDE/>
        <w:autoSpaceDN/>
        <w:bidi w:val="0"/>
        <w:adjustRightInd/>
        <w:snapToGrid w:val="0"/>
        <w:spacing w:afterAutospacing="0" w:line="560" w:lineRule="exact"/>
        <w:ind w:firstLine="640" w:firstLineChars="200"/>
        <w:jc w:val="both"/>
        <w:textAlignment w:val="auto"/>
        <w:rPr>
          <w:rFonts w:hint="eastAsia" w:ascii="Times New Roman" w:hAnsi="Times New Roman" w:eastAsia="仿宋_GB2312" w:cs="Times New Roman"/>
          <w:b w:val="0"/>
          <w:bCs w:val="0"/>
          <w:color w:val="000000" w:themeColor="text1"/>
          <w:sz w:val="32"/>
          <w:szCs w:val="32"/>
        </w:rPr>
      </w:pPr>
      <w:r>
        <w:rPr>
          <w:rFonts w:hint="eastAsia" w:ascii="Times New Roman" w:hAnsi="Times New Roman" w:eastAsia="仿宋_GB2312" w:cs="Times New Roman"/>
          <w:b w:val="0"/>
          <w:bCs w:val="0"/>
          <w:color w:val="000000" w:themeColor="text1"/>
          <w:sz w:val="32"/>
          <w:szCs w:val="32"/>
        </w:rPr>
        <w:t>杭锦旗人民检察院 2023年度本年收入决算合计 1,569.01万元，其中：</w:t>
      </w:r>
    </w:p>
    <w:p w14:paraId="331AE1E1">
      <w:pPr>
        <w:keepNext w:val="0"/>
        <w:keepLines w:val="0"/>
        <w:pageBreakBefore w:val="0"/>
        <w:widowControl w:val="0"/>
        <w:kinsoku/>
        <w:wordWrap/>
        <w:overflowPunct/>
        <w:topLinePunct w:val="0"/>
        <w:autoSpaceDE/>
        <w:autoSpaceDN/>
        <w:bidi w:val="0"/>
        <w:adjustRightInd/>
        <w:snapToGrid w:val="0"/>
        <w:spacing w:afterAutospacing="0" w:line="560" w:lineRule="exact"/>
        <w:ind w:firstLine="640" w:firstLineChars="200"/>
        <w:jc w:val="both"/>
        <w:textAlignment w:val="auto"/>
        <w:rPr>
          <w:rFonts w:hint="eastAsia" w:ascii="Times New Roman" w:hAnsi="Times New Roman" w:eastAsia="仿宋_GB2312" w:cs="Times New Roman"/>
          <w:b w:val="0"/>
          <w:bCs w:val="0"/>
          <w:color w:val="000000" w:themeColor="text1"/>
          <w:sz w:val="32"/>
          <w:szCs w:val="32"/>
        </w:rPr>
      </w:pPr>
      <w:r>
        <w:rPr>
          <w:rFonts w:hint="eastAsia" w:ascii="Times New Roman" w:hAnsi="Times New Roman" w:eastAsia="仿宋_GB2312" w:cs="Times New Roman"/>
          <w:b w:val="0"/>
          <w:bCs w:val="0"/>
          <w:color w:val="000000" w:themeColor="text1"/>
          <w:sz w:val="32"/>
          <w:szCs w:val="32"/>
        </w:rPr>
        <w:t>本年一般公共预算财政拨款收入 1,328.81万元，占 84.69%；</w:t>
      </w:r>
    </w:p>
    <w:p w14:paraId="23439009">
      <w:pPr>
        <w:keepNext w:val="0"/>
        <w:keepLines w:val="0"/>
        <w:pageBreakBefore w:val="0"/>
        <w:widowControl w:val="0"/>
        <w:kinsoku/>
        <w:wordWrap/>
        <w:overflowPunct/>
        <w:topLinePunct w:val="0"/>
        <w:autoSpaceDE/>
        <w:autoSpaceDN/>
        <w:bidi w:val="0"/>
        <w:adjustRightInd/>
        <w:snapToGrid w:val="0"/>
        <w:spacing w:afterAutospacing="0" w:line="560" w:lineRule="exact"/>
        <w:ind w:left="0" w:firstLine="640" w:firstLineChars="200"/>
        <w:jc w:val="both"/>
        <w:textAlignment w:val="auto"/>
        <w:rPr>
          <w:rFonts w:hint="eastAsia" w:ascii="Times New Roman" w:hAnsi="Times New Roman" w:eastAsia="仿宋_GB2312" w:cs="Times New Roman"/>
          <w:b w:val="0"/>
          <w:bCs w:val="0"/>
          <w:color w:val="000000" w:themeColor="text1"/>
          <w:sz w:val="32"/>
          <w:szCs w:val="32"/>
        </w:rPr>
      </w:pPr>
      <w:r>
        <w:rPr>
          <w:rFonts w:hint="eastAsia" w:ascii="Times New Roman" w:hAnsi="Times New Roman" w:eastAsia="仿宋_GB2312" w:cs="Times New Roman"/>
          <w:b w:val="0"/>
          <w:bCs w:val="0"/>
          <w:color w:val="000000" w:themeColor="text1"/>
          <w:sz w:val="32"/>
          <w:szCs w:val="32"/>
        </w:rPr>
        <w:t>本年政府性基金预算财政拨款收入 0.00万元，占 0.00%；</w:t>
      </w:r>
    </w:p>
    <w:p w14:paraId="3BB7DEE7">
      <w:pPr>
        <w:keepNext w:val="0"/>
        <w:keepLines w:val="0"/>
        <w:pageBreakBefore w:val="0"/>
        <w:widowControl w:val="0"/>
        <w:kinsoku/>
        <w:wordWrap/>
        <w:overflowPunct/>
        <w:topLinePunct w:val="0"/>
        <w:autoSpaceDE/>
        <w:autoSpaceDN/>
        <w:bidi w:val="0"/>
        <w:adjustRightInd/>
        <w:snapToGrid w:val="0"/>
        <w:spacing w:afterAutospacing="0" w:line="560" w:lineRule="exact"/>
        <w:ind w:left="0" w:firstLine="640" w:firstLineChars="200"/>
        <w:jc w:val="both"/>
        <w:textAlignment w:val="auto"/>
        <w:rPr>
          <w:rFonts w:hint="eastAsia" w:ascii="Times New Roman" w:hAnsi="Times New Roman" w:eastAsia="仿宋_GB2312" w:cs="Times New Roman"/>
          <w:b w:val="0"/>
          <w:bCs w:val="0"/>
          <w:color w:val="000000" w:themeColor="text1"/>
          <w:sz w:val="32"/>
          <w:szCs w:val="32"/>
        </w:rPr>
      </w:pPr>
      <w:r>
        <w:rPr>
          <w:rFonts w:hint="eastAsia" w:ascii="Times New Roman" w:hAnsi="Times New Roman" w:eastAsia="仿宋_GB2312" w:cs="Times New Roman"/>
          <w:b w:val="0"/>
          <w:bCs w:val="0"/>
          <w:color w:val="000000" w:themeColor="text1"/>
          <w:sz w:val="32"/>
          <w:szCs w:val="32"/>
        </w:rPr>
        <w:t>本年国有资本经营预算财政拨款收入 0.00万元，占 0.00%；</w:t>
      </w:r>
    </w:p>
    <w:p w14:paraId="3120C1B5">
      <w:pPr>
        <w:keepNext w:val="0"/>
        <w:keepLines w:val="0"/>
        <w:pageBreakBefore w:val="0"/>
        <w:widowControl w:val="0"/>
        <w:kinsoku/>
        <w:wordWrap/>
        <w:overflowPunct/>
        <w:topLinePunct w:val="0"/>
        <w:autoSpaceDE/>
        <w:autoSpaceDN/>
        <w:bidi w:val="0"/>
        <w:adjustRightInd/>
        <w:snapToGrid w:val="0"/>
        <w:spacing w:afterAutospacing="0" w:line="560" w:lineRule="exact"/>
        <w:ind w:left="0" w:firstLine="640" w:firstLineChars="200"/>
        <w:jc w:val="both"/>
        <w:textAlignment w:val="auto"/>
        <w:rPr>
          <w:rFonts w:hint="eastAsia" w:ascii="Times New Roman" w:hAnsi="Times New Roman" w:eastAsia="仿宋_GB2312" w:cs="Times New Roman"/>
          <w:b w:val="0"/>
          <w:bCs w:val="0"/>
          <w:color w:val="000000" w:themeColor="text1"/>
          <w:sz w:val="32"/>
          <w:szCs w:val="32"/>
        </w:rPr>
      </w:pPr>
      <w:r>
        <w:rPr>
          <w:rFonts w:hint="eastAsia" w:ascii="Times New Roman" w:hAnsi="Times New Roman" w:eastAsia="仿宋_GB2312" w:cs="Times New Roman"/>
          <w:b w:val="0"/>
          <w:bCs w:val="0"/>
          <w:color w:val="000000" w:themeColor="text1"/>
          <w:sz w:val="32"/>
          <w:szCs w:val="32"/>
        </w:rPr>
        <w:t>本年上级补助收入 0.00万元，占 0.00%；</w:t>
      </w:r>
    </w:p>
    <w:p w14:paraId="12EFAF84">
      <w:pPr>
        <w:keepNext w:val="0"/>
        <w:keepLines w:val="0"/>
        <w:pageBreakBefore w:val="0"/>
        <w:widowControl w:val="0"/>
        <w:kinsoku/>
        <w:wordWrap/>
        <w:overflowPunct/>
        <w:topLinePunct w:val="0"/>
        <w:autoSpaceDE/>
        <w:autoSpaceDN/>
        <w:bidi w:val="0"/>
        <w:adjustRightInd/>
        <w:snapToGrid w:val="0"/>
        <w:spacing w:afterAutospacing="0" w:line="560" w:lineRule="exact"/>
        <w:ind w:left="0" w:firstLine="640" w:firstLineChars="200"/>
        <w:jc w:val="both"/>
        <w:textAlignment w:val="auto"/>
        <w:rPr>
          <w:rFonts w:hint="eastAsia" w:ascii="Times New Roman" w:hAnsi="Times New Roman" w:eastAsia="仿宋_GB2312" w:cs="Times New Roman"/>
          <w:b w:val="0"/>
          <w:bCs w:val="0"/>
          <w:color w:val="000000" w:themeColor="text1"/>
          <w:sz w:val="32"/>
          <w:szCs w:val="32"/>
        </w:rPr>
      </w:pPr>
      <w:r>
        <w:rPr>
          <w:rFonts w:hint="eastAsia" w:ascii="Times New Roman" w:hAnsi="Times New Roman" w:eastAsia="仿宋_GB2312" w:cs="Times New Roman"/>
          <w:b w:val="0"/>
          <w:bCs w:val="0"/>
          <w:color w:val="000000" w:themeColor="text1"/>
          <w:sz w:val="32"/>
          <w:szCs w:val="32"/>
        </w:rPr>
        <w:t>本年事业收入 0.00万元，占 0.00%；</w:t>
      </w:r>
    </w:p>
    <w:p w14:paraId="1FC4E1A2">
      <w:pPr>
        <w:keepNext w:val="0"/>
        <w:keepLines w:val="0"/>
        <w:pageBreakBefore w:val="0"/>
        <w:widowControl w:val="0"/>
        <w:kinsoku/>
        <w:wordWrap/>
        <w:overflowPunct/>
        <w:topLinePunct w:val="0"/>
        <w:autoSpaceDE/>
        <w:autoSpaceDN/>
        <w:bidi w:val="0"/>
        <w:adjustRightInd/>
        <w:snapToGrid w:val="0"/>
        <w:spacing w:afterAutospacing="0" w:line="560" w:lineRule="exact"/>
        <w:ind w:left="0" w:firstLine="640" w:firstLineChars="200"/>
        <w:jc w:val="both"/>
        <w:textAlignment w:val="auto"/>
        <w:rPr>
          <w:rFonts w:hint="eastAsia" w:ascii="Times New Roman" w:hAnsi="Times New Roman" w:eastAsia="仿宋_GB2312" w:cs="Times New Roman"/>
          <w:b w:val="0"/>
          <w:bCs w:val="0"/>
          <w:color w:val="000000" w:themeColor="text1"/>
          <w:sz w:val="32"/>
          <w:szCs w:val="32"/>
        </w:rPr>
      </w:pPr>
      <w:r>
        <w:rPr>
          <w:rFonts w:hint="eastAsia" w:ascii="Times New Roman" w:hAnsi="Times New Roman" w:eastAsia="仿宋_GB2312" w:cs="Times New Roman"/>
          <w:b w:val="0"/>
          <w:bCs w:val="0"/>
          <w:color w:val="000000" w:themeColor="text1"/>
          <w:sz w:val="32"/>
          <w:szCs w:val="32"/>
        </w:rPr>
        <w:t>本年经营收入 0.00万元，占 0.00%；</w:t>
      </w:r>
    </w:p>
    <w:p w14:paraId="392145CD">
      <w:pPr>
        <w:keepNext w:val="0"/>
        <w:keepLines w:val="0"/>
        <w:pageBreakBefore w:val="0"/>
        <w:widowControl w:val="0"/>
        <w:kinsoku/>
        <w:wordWrap/>
        <w:overflowPunct/>
        <w:topLinePunct w:val="0"/>
        <w:autoSpaceDE/>
        <w:autoSpaceDN/>
        <w:bidi w:val="0"/>
        <w:adjustRightInd/>
        <w:snapToGrid w:val="0"/>
        <w:spacing w:afterAutospacing="0" w:line="560" w:lineRule="exact"/>
        <w:ind w:left="0" w:firstLine="640" w:firstLineChars="200"/>
        <w:jc w:val="both"/>
        <w:textAlignment w:val="auto"/>
        <w:rPr>
          <w:rFonts w:hint="eastAsia" w:ascii="Times New Roman" w:hAnsi="Times New Roman" w:eastAsia="仿宋_GB2312" w:cs="Times New Roman"/>
          <w:b w:val="0"/>
          <w:bCs w:val="0"/>
          <w:color w:val="000000" w:themeColor="text1"/>
          <w:sz w:val="32"/>
          <w:szCs w:val="32"/>
        </w:rPr>
      </w:pPr>
      <w:r>
        <w:rPr>
          <w:rFonts w:hint="eastAsia" w:ascii="Times New Roman" w:hAnsi="Times New Roman" w:eastAsia="仿宋_GB2312" w:cs="Times New Roman"/>
          <w:b w:val="0"/>
          <w:bCs w:val="0"/>
          <w:color w:val="000000" w:themeColor="text1"/>
          <w:sz w:val="32"/>
          <w:szCs w:val="32"/>
        </w:rPr>
        <w:t>本年附属单位上缴收入 0.00万元，占 0.00%；</w:t>
      </w:r>
    </w:p>
    <w:p w14:paraId="03DD5BC7">
      <w:pPr>
        <w:keepNext w:val="0"/>
        <w:keepLines w:val="0"/>
        <w:pageBreakBefore w:val="0"/>
        <w:widowControl w:val="0"/>
        <w:kinsoku/>
        <w:wordWrap/>
        <w:overflowPunct/>
        <w:topLinePunct w:val="0"/>
        <w:autoSpaceDE/>
        <w:autoSpaceDN/>
        <w:bidi w:val="0"/>
        <w:adjustRightInd/>
        <w:snapToGrid w:val="0"/>
        <w:spacing w:afterAutospacing="0" w:line="560" w:lineRule="exact"/>
        <w:ind w:left="0" w:firstLine="640" w:firstLineChars="200"/>
        <w:jc w:val="both"/>
        <w:textAlignment w:val="auto"/>
        <w:rPr>
          <w:rFonts w:hint="eastAsia" w:ascii="Times New Roman" w:hAnsi="Times New Roman" w:eastAsia="仿宋_GB2312" w:cs="Times New Roman"/>
          <w:b w:val="0"/>
          <w:bCs w:val="0"/>
          <w:color w:val="000000" w:themeColor="text1"/>
          <w:sz w:val="32"/>
          <w:szCs w:val="32"/>
        </w:rPr>
      </w:pPr>
      <w:r>
        <w:rPr>
          <w:rFonts w:hint="eastAsia" w:ascii="Times New Roman" w:hAnsi="Times New Roman" w:eastAsia="仿宋_GB2312" w:cs="Times New Roman"/>
          <w:b w:val="0"/>
          <w:bCs w:val="0"/>
          <w:color w:val="000000" w:themeColor="text1"/>
          <w:sz w:val="32"/>
          <w:szCs w:val="32"/>
        </w:rPr>
        <w:t>本年其他收入 240.20万元，占 15.31%。</w:t>
      </w:r>
    </w:p>
    <w:p w14:paraId="7FEE1FB6">
      <w:pPr>
        <w:keepNext w:val="0"/>
        <w:keepLines w:val="0"/>
        <w:pageBreakBefore w:val="0"/>
        <w:widowControl/>
        <w:kinsoku/>
        <w:wordWrap/>
        <w:overflowPunct/>
        <w:topLinePunct w:val="0"/>
        <w:autoSpaceDE/>
        <w:autoSpaceDN/>
        <w:bidi w:val="0"/>
        <w:spacing w:beforeAutospacing="0" w:afterAutospacing="0" w:line="560" w:lineRule="exact"/>
        <w:textAlignment w:val="auto"/>
        <w:rPr>
          <w:rFonts w:ascii="fang_song_gb2312" w:hAnsi="fang_song_gb2312" w:eastAsia="fang_song_gb2312" w:cs="fang_song_gb2312"/>
          <w:color w:val="0E00FE"/>
          <w:kern w:val="0"/>
          <w:sz w:val="27"/>
          <w:szCs w:val="27"/>
        </w:rPr>
      </w:pPr>
      <w:r>
        <w:rPr>
          <w:rFonts w:ascii="fang_song_gb2312" w:hAnsi="fang_song_gb2312" w:eastAsia="fang_song_gb2312" w:cs="fang_song_gb2312"/>
          <w:color w:val="0E00FE"/>
          <w:kern w:val="0"/>
          <w:sz w:val="27"/>
          <w:szCs w:val="27"/>
        </w:rPr>
        <w:t>   </w:t>
      </w:r>
    </w:p>
    <w:p w14:paraId="2E17C434">
      <w:pPr>
        <w:pStyle w:val="2"/>
        <w:keepNext w:val="0"/>
        <w:keepLines w:val="0"/>
        <w:pageBreakBefore w:val="0"/>
        <w:kinsoku/>
        <w:wordWrap/>
        <w:overflowPunct/>
        <w:topLinePunct w:val="0"/>
        <w:autoSpaceDN/>
        <w:bidi w:val="0"/>
        <w:spacing w:before="0" w:after="0" w:line="560" w:lineRule="exact"/>
        <w:textAlignment w:val="auto"/>
        <w:rPr>
          <w:rFonts w:ascii="fang_song_gb2312" w:hAnsi="fang_song_gb2312" w:eastAsia="fang_song_gb2312" w:cs="fang_song_gb2312"/>
          <w:color w:val="0E00FE"/>
          <w:kern w:val="0"/>
          <w:sz w:val="27"/>
          <w:szCs w:val="27"/>
        </w:rPr>
      </w:pPr>
    </w:p>
    <w:p w14:paraId="32271AE9">
      <w:pPr>
        <w:rPr>
          <w:rFonts w:ascii="fang_song_gb2312" w:hAnsi="fang_song_gb2312" w:eastAsia="fang_song_gb2312" w:cs="fang_song_gb2312"/>
          <w:color w:val="0E00FE"/>
          <w:kern w:val="0"/>
          <w:sz w:val="27"/>
          <w:szCs w:val="27"/>
        </w:rPr>
      </w:pPr>
    </w:p>
    <w:p w14:paraId="1CC447BD">
      <w:pPr>
        <w:pStyle w:val="2"/>
        <w:rPr>
          <w:rFonts w:ascii="fang_song_gb2312" w:hAnsi="fang_song_gb2312" w:eastAsia="fang_song_gb2312" w:cs="fang_song_gb2312"/>
          <w:color w:val="0E00FE"/>
          <w:kern w:val="0"/>
          <w:sz w:val="27"/>
          <w:szCs w:val="27"/>
        </w:rPr>
      </w:pPr>
    </w:p>
    <w:p w14:paraId="167D0822">
      <w:pPr>
        <w:rPr>
          <w:rFonts w:ascii="fang_song_gb2312" w:hAnsi="fang_song_gb2312" w:eastAsia="fang_song_gb2312" w:cs="fang_song_gb2312"/>
          <w:color w:val="0E00FE"/>
          <w:kern w:val="0"/>
          <w:sz w:val="27"/>
          <w:szCs w:val="27"/>
        </w:rPr>
      </w:pPr>
    </w:p>
    <w:p w14:paraId="41DE2C4E">
      <w:pPr>
        <w:pStyle w:val="2"/>
      </w:pPr>
    </w:p>
    <w:p w14:paraId="467C3ED8">
      <w:pPr>
        <w:keepNext w:val="0"/>
        <w:keepLines w:val="0"/>
        <w:pageBreakBefore w:val="0"/>
        <w:kinsoku/>
        <w:wordWrap/>
        <w:overflowPunct/>
        <w:topLinePunct w:val="0"/>
        <w:autoSpaceDN/>
        <w:bidi w:val="0"/>
        <w:spacing w:line="560" w:lineRule="exact"/>
        <w:textAlignment w:val="auto"/>
        <w:rPr>
          <w:rFonts w:ascii="fang_song_gb2312" w:hAnsi="fang_song_gb2312" w:eastAsia="fang_song_gb2312" w:cs="fang_song_gb2312"/>
          <w:color w:val="0E00FE"/>
          <w:kern w:val="0"/>
          <w:sz w:val="27"/>
          <w:szCs w:val="27"/>
        </w:rPr>
      </w:pPr>
    </w:p>
    <w:p w14:paraId="4B5552A2">
      <w:pPr>
        <w:pStyle w:val="2"/>
        <w:keepNext w:val="0"/>
        <w:keepLines w:val="0"/>
        <w:pageBreakBefore w:val="0"/>
        <w:kinsoku/>
        <w:wordWrap/>
        <w:overflowPunct/>
        <w:topLinePunct w:val="0"/>
        <w:autoSpaceDN/>
        <w:bidi w:val="0"/>
        <w:spacing w:before="0" w:after="0" w:line="560" w:lineRule="exact"/>
        <w:textAlignment w:val="auto"/>
        <w:rPr>
          <w:rFonts w:ascii="fang_song_gb2312" w:hAnsi="fang_song_gb2312" w:eastAsia="fang_song_gb2312" w:cs="fang_song_gb2312"/>
          <w:color w:val="0E00FE"/>
          <w:kern w:val="0"/>
          <w:sz w:val="27"/>
          <w:szCs w:val="27"/>
        </w:rPr>
      </w:pPr>
    </w:p>
    <w:p w14:paraId="15F1D8E1">
      <w:pPr>
        <w:keepNext w:val="0"/>
        <w:keepLines w:val="0"/>
        <w:pageBreakBefore w:val="0"/>
        <w:kinsoku/>
        <w:wordWrap/>
        <w:overflowPunct/>
        <w:topLinePunct w:val="0"/>
        <w:autoSpaceDN/>
        <w:bidi w:val="0"/>
        <w:spacing w:line="560" w:lineRule="exact"/>
        <w:jc w:val="center"/>
        <w:textAlignment w:val="auto"/>
        <w:rPr>
          <w:rFonts w:ascii="Times New Roman" w:hAnsi="Times New Roman" w:eastAsia="Times New Roman" w:cs="Times New Roman"/>
          <w:kern w:val="0"/>
          <w:sz w:val="24"/>
        </w:rPr>
      </w:pPr>
      <w:r>
        <w:drawing>
          <wp:anchor distT="0" distB="0" distL="114300" distR="114300" simplePos="0" relativeHeight="251659264" behindDoc="1" locked="0" layoutInCell="1" allowOverlap="1">
            <wp:simplePos x="0" y="0"/>
            <wp:positionH relativeFrom="column">
              <wp:posOffset>393065</wp:posOffset>
            </wp:positionH>
            <wp:positionV relativeFrom="paragraph">
              <wp:posOffset>-2473325</wp:posOffset>
            </wp:positionV>
            <wp:extent cx="4826000" cy="2743200"/>
            <wp:effectExtent l="4445" t="4445" r="8255" b="14605"/>
            <wp:wrapTight wrapText="bothSides">
              <wp:wrapPolygon>
                <wp:start x="-20" y="-35"/>
                <wp:lineTo x="-20" y="21565"/>
                <wp:lineTo x="21552" y="21565"/>
                <wp:lineTo x="21552" y="-35"/>
                <wp:lineTo x="-20" y="-35"/>
              </wp:wrapPolygon>
            </wp:wrapTight>
            <wp:docPr id="1"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14:paraId="596CCF88">
      <w:pPr>
        <w:keepNext w:val="0"/>
        <w:keepLines w:val="0"/>
        <w:pageBreakBefore w:val="0"/>
        <w:widowControl w:val="0"/>
        <w:kinsoku/>
        <w:wordWrap/>
        <w:overflowPunct/>
        <w:topLinePunct w:val="0"/>
        <w:autoSpaceDE/>
        <w:autoSpaceDN/>
        <w:bidi w:val="0"/>
        <w:adjustRightInd/>
        <w:snapToGrid w:val="0"/>
        <w:spacing w:afterAutospacing="0" w:line="560" w:lineRule="exact"/>
        <w:ind w:left="0" w:firstLine="640" w:firstLineChars="200"/>
        <w:jc w:val="center"/>
        <w:textAlignment w:val="auto"/>
        <w:rPr>
          <w:rFonts w:hint="eastAsia" w:ascii="黑体" w:hAnsi="黑体" w:eastAsia="黑体" w:cs="Times New Roman"/>
          <w:sz w:val="32"/>
          <w:szCs w:val="32"/>
          <w:lang w:val="en-US" w:eastAsia="zh-CN"/>
        </w:rPr>
      </w:pPr>
      <w:r>
        <w:rPr>
          <w:rFonts w:hint="eastAsia" w:ascii="Times New Roman" w:hAnsi="Times New Roman" w:eastAsia="仿宋_GB2312" w:cs="Times New Roman"/>
          <w:b w:val="0"/>
          <w:bCs w:val="0"/>
          <w:color w:val="000000" w:themeColor="text1"/>
          <w:sz w:val="32"/>
          <w:szCs w:val="32"/>
        </w:rPr>
        <w:t>图1.收入决算图</w:t>
      </w:r>
    </w:p>
    <w:p w14:paraId="10B0ACF4">
      <w:pPr>
        <w:keepNext w:val="0"/>
        <w:keepLines w:val="0"/>
        <w:pageBreakBefore w:val="0"/>
        <w:widowControl/>
        <w:kinsoku/>
        <w:wordWrap/>
        <w:overflowPunct/>
        <w:topLinePunct w:val="0"/>
        <w:autoSpaceDE/>
        <w:autoSpaceDN/>
        <w:bidi w:val="0"/>
        <w:spacing w:beforeAutospacing="0" w:afterAutospacing="0" w:line="560" w:lineRule="exact"/>
        <w:ind w:firstLine="640" w:firstLineChars="200"/>
        <w:jc w:val="left"/>
        <w:textAlignment w:val="auto"/>
        <w:rPr>
          <w:rFonts w:hint="eastAsia" w:ascii="黑体" w:hAnsi="黑体" w:eastAsia="黑体" w:cs="Times New Roman"/>
          <w:sz w:val="32"/>
          <w:szCs w:val="32"/>
          <w:lang w:val="en-US" w:eastAsia="zh-CN"/>
        </w:rPr>
      </w:pPr>
    </w:p>
    <w:p w14:paraId="5899C86C">
      <w:pPr>
        <w:keepNext w:val="0"/>
        <w:keepLines w:val="0"/>
        <w:pageBreakBefore w:val="0"/>
        <w:widowControl/>
        <w:kinsoku/>
        <w:wordWrap/>
        <w:overflowPunct/>
        <w:topLinePunct w:val="0"/>
        <w:autoSpaceDE/>
        <w:autoSpaceDN/>
        <w:bidi w:val="0"/>
        <w:spacing w:beforeAutospacing="0" w:afterAutospacing="0" w:line="560" w:lineRule="exact"/>
        <w:ind w:firstLine="640" w:firstLineChars="200"/>
        <w:jc w:val="left"/>
        <w:textAlignment w:val="auto"/>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三、支出决算情况说明</w:t>
      </w:r>
    </w:p>
    <w:p w14:paraId="65E1AD4C">
      <w:pPr>
        <w:keepNext w:val="0"/>
        <w:keepLines w:val="0"/>
        <w:pageBreakBefore w:val="0"/>
        <w:widowControl/>
        <w:kinsoku/>
        <w:wordWrap/>
        <w:overflowPunct/>
        <w:topLinePunct w:val="0"/>
        <w:autoSpaceDE/>
        <w:autoSpaceDN/>
        <w:bidi w:val="0"/>
        <w:spacing w:beforeAutospacing="0" w:afterAutospacing="0" w:line="560" w:lineRule="exact"/>
        <w:ind w:firstLine="640" w:firstLineChars="200"/>
        <w:jc w:val="left"/>
        <w:textAlignment w:val="auto"/>
        <w:rPr>
          <w:rFonts w:hint="eastAsia" w:ascii="Times New Roman" w:hAnsi="Times New Roman" w:eastAsia="仿宋_GB2312" w:cs="Times New Roman"/>
          <w:b w:val="0"/>
          <w:bCs w:val="0"/>
          <w:color w:val="000000" w:themeColor="text1"/>
          <w:sz w:val="32"/>
          <w:szCs w:val="32"/>
        </w:rPr>
      </w:pPr>
      <w:r>
        <w:rPr>
          <w:rFonts w:hint="eastAsia" w:ascii="Times New Roman" w:hAnsi="Times New Roman" w:eastAsia="仿宋_GB2312" w:cs="Times New Roman"/>
          <w:b w:val="0"/>
          <w:bCs w:val="0"/>
          <w:color w:val="000000" w:themeColor="text1"/>
          <w:sz w:val="32"/>
          <w:szCs w:val="32"/>
        </w:rPr>
        <w:t>杭锦旗人民检察院 2023年度本年支出决算合计 1,567.89万元，其中：</w:t>
      </w:r>
    </w:p>
    <w:p w14:paraId="3B4B1EC1">
      <w:pPr>
        <w:keepNext w:val="0"/>
        <w:keepLines w:val="0"/>
        <w:pageBreakBefore w:val="0"/>
        <w:widowControl w:val="0"/>
        <w:kinsoku/>
        <w:wordWrap/>
        <w:overflowPunct/>
        <w:topLinePunct w:val="0"/>
        <w:autoSpaceDE/>
        <w:autoSpaceDN/>
        <w:bidi w:val="0"/>
        <w:adjustRightInd/>
        <w:snapToGrid w:val="0"/>
        <w:spacing w:afterAutospacing="0" w:line="560" w:lineRule="exact"/>
        <w:ind w:firstLine="640" w:firstLineChars="200"/>
        <w:jc w:val="both"/>
        <w:textAlignment w:val="auto"/>
        <w:rPr>
          <w:rFonts w:hint="eastAsia" w:ascii="Times New Roman" w:hAnsi="Times New Roman" w:eastAsia="仿宋_GB2312" w:cs="Times New Roman"/>
          <w:b w:val="0"/>
          <w:bCs w:val="0"/>
          <w:color w:val="000000" w:themeColor="text1"/>
          <w:sz w:val="32"/>
          <w:szCs w:val="32"/>
        </w:rPr>
      </w:pPr>
      <w:r>
        <w:rPr>
          <w:rFonts w:hint="eastAsia" w:ascii="Times New Roman" w:hAnsi="Times New Roman" w:eastAsia="仿宋_GB2312" w:cs="Times New Roman"/>
          <w:b w:val="0"/>
          <w:bCs w:val="0"/>
          <w:color w:val="000000" w:themeColor="text1"/>
          <w:sz w:val="32"/>
          <w:szCs w:val="32"/>
        </w:rPr>
        <w:t>本年基本支出 835.07万元，占 53.26%；</w:t>
      </w:r>
    </w:p>
    <w:p w14:paraId="4E8CA2F6">
      <w:pPr>
        <w:keepNext w:val="0"/>
        <w:keepLines w:val="0"/>
        <w:pageBreakBefore w:val="0"/>
        <w:widowControl w:val="0"/>
        <w:kinsoku/>
        <w:wordWrap/>
        <w:overflowPunct/>
        <w:topLinePunct w:val="0"/>
        <w:autoSpaceDE/>
        <w:autoSpaceDN/>
        <w:bidi w:val="0"/>
        <w:adjustRightInd/>
        <w:snapToGrid w:val="0"/>
        <w:spacing w:afterAutospacing="0" w:line="560" w:lineRule="exact"/>
        <w:ind w:firstLine="640" w:firstLineChars="200"/>
        <w:jc w:val="both"/>
        <w:textAlignment w:val="auto"/>
        <w:rPr>
          <w:rFonts w:hint="eastAsia" w:ascii="Times New Roman" w:hAnsi="Times New Roman" w:eastAsia="仿宋_GB2312" w:cs="Times New Roman"/>
          <w:b w:val="0"/>
          <w:bCs w:val="0"/>
          <w:color w:val="000000" w:themeColor="text1"/>
          <w:sz w:val="32"/>
          <w:szCs w:val="32"/>
        </w:rPr>
      </w:pPr>
      <w:r>
        <w:rPr>
          <w:rFonts w:hint="eastAsia" w:ascii="Times New Roman" w:hAnsi="Times New Roman" w:eastAsia="仿宋_GB2312" w:cs="Times New Roman"/>
          <w:b w:val="0"/>
          <w:bCs w:val="0"/>
          <w:color w:val="000000" w:themeColor="text1"/>
          <w:sz w:val="32"/>
          <w:szCs w:val="32"/>
        </w:rPr>
        <w:t>本年项目支出 732.82万元，占 46.74%；</w:t>
      </w:r>
    </w:p>
    <w:p w14:paraId="3019C6F2">
      <w:pPr>
        <w:keepNext w:val="0"/>
        <w:keepLines w:val="0"/>
        <w:pageBreakBefore w:val="0"/>
        <w:widowControl w:val="0"/>
        <w:kinsoku/>
        <w:wordWrap/>
        <w:overflowPunct/>
        <w:topLinePunct w:val="0"/>
        <w:autoSpaceDE/>
        <w:autoSpaceDN/>
        <w:bidi w:val="0"/>
        <w:adjustRightInd/>
        <w:snapToGrid w:val="0"/>
        <w:spacing w:afterAutospacing="0" w:line="560" w:lineRule="exact"/>
        <w:ind w:firstLine="640" w:firstLineChars="200"/>
        <w:jc w:val="both"/>
        <w:textAlignment w:val="auto"/>
        <w:rPr>
          <w:rFonts w:hint="eastAsia" w:ascii="Times New Roman" w:hAnsi="Times New Roman" w:eastAsia="仿宋_GB2312" w:cs="Times New Roman"/>
          <w:b w:val="0"/>
          <w:bCs w:val="0"/>
          <w:color w:val="000000" w:themeColor="text1"/>
          <w:sz w:val="32"/>
          <w:szCs w:val="32"/>
        </w:rPr>
      </w:pPr>
      <w:r>
        <w:rPr>
          <w:rFonts w:hint="eastAsia" w:ascii="Times New Roman" w:hAnsi="Times New Roman" w:eastAsia="仿宋_GB2312" w:cs="Times New Roman"/>
          <w:b w:val="0"/>
          <w:bCs w:val="0"/>
          <w:color w:val="000000" w:themeColor="text1"/>
          <w:sz w:val="32"/>
          <w:szCs w:val="32"/>
        </w:rPr>
        <w:t>本年上缴上级支出 0.00万元，占 0.00%；</w:t>
      </w:r>
    </w:p>
    <w:p w14:paraId="0667EDE5">
      <w:pPr>
        <w:keepNext w:val="0"/>
        <w:keepLines w:val="0"/>
        <w:pageBreakBefore w:val="0"/>
        <w:widowControl w:val="0"/>
        <w:kinsoku/>
        <w:wordWrap/>
        <w:overflowPunct/>
        <w:topLinePunct w:val="0"/>
        <w:autoSpaceDE/>
        <w:autoSpaceDN/>
        <w:bidi w:val="0"/>
        <w:adjustRightInd/>
        <w:snapToGrid w:val="0"/>
        <w:spacing w:afterAutospacing="0" w:line="560" w:lineRule="exact"/>
        <w:ind w:firstLine="640" w:firstLineChars="200"/>
        <w:jc w:val="both"/>
        <w:textAlignment w:val="auto"/>
        <w:rPr>
          <w:rFonts w:hint="eastAsia" w:ascii="Times New Roman" w:hAnsi="Times New Roman" w:eastAsia="仿宋_GB2312" w:cs="Times New Roman"/>
          <w:b w:val="0"/>
          <w:bCs w:val="0"/>
          <w:color w:val="000000" w:themeColor="text1"/>
          <w:sz w:val="32"/>
          <w:szCs w:val="32"/>
        </w:rPr>
      </w:pPr>
      <w:r>
        <w:rPr>
          <w:rFonts w:hint="eastAsia" w:ascii="Times New Roman" w:hAnsi="Times New Roman" w:eastAsia="仿宋_GB2312" w:cs="Times New Roman"/>
          <w:b w:val="0"/>
          <w:bCs w:val="0"/>
          <w:color w:val="000000" w:themeColor="text1"/>
          <w:sz w:val="32"/>
          <w:szCs w:val="32"/>
        </w:rPr>
        <w:t>本年经营支出 0.00万元，占 0.00%；</w:t>
      </w:r>
    </w:p>
    <w:p w14:paraId="5AD48973">
      <w:pPr>
        <w:keepNext w:val="0"/>
        <w:keepLines w:val="0"/>
        <w:pageBreakBefore w:val="0"/>
        <w:widowControl w:val="0"/>
        <w:kinsoku/>
        <w:wordWrap/>
        <w:overflowPunct/>
        <w:topLinePunct w:val="0"/>
        <w:autoSpaceDE/>
        <w:autoSpaceDN/>
        <w:bidi w:val="0"/>
        <w:adjustRightInd/>
        <w:snapToGrid w:val="0"/>
        <w:spacing w:afterAutospacing="0" w:line="560" w:lineRule="exact"/>
        <w:ind w:firstLine="640" w:firstLineChars="200"/>
        <w:jc w:val="both"/>
        <w:textAlignment w:val="auto"/>
        <w:rPr>
          <w:rFonts w:hint="eastAsia" w:ascii="Times New Roman" w:hAnsi="Times New Roman" w:eastAsia="仿宋_GB2312" w:cs="Times New Roman"/>
          <w:b w:val="0"/>
          <w:bCs w:val="0"/>
          <w:color w:val="000000" w:themeColor="text1"/>
          <w:sz w:val="32"/>
          <w:szCs w:val="32"/>
        </w:rPr>
      </w:pPr>
      <w:r>
        <w:rPr>
          <w:rFonts w:hint="eastAsia" w:ascii="Times New Roman" w:hAnsi="Times New Roman" w:eastAsia="仿宋_GB2312" w:cs="Times New Roman"/>
          <w:b w:val="0"/>
          <w:bCs w:val="0"/>
          <w:color w:val="000000" w:themeColor="text1"/>
          <w:sz w:val="32"/>
          <w:szCs w:val="32"/>
        </w:rPr>
        <w:t>本年对附属单位补助支出 0.00万元，占 0.00%。</w:t>
      </w:r>
    </w:p>
    <w:p w14:paraId="6B1B1C49">
      <w:pPr>
        <w:keepNext w:val="0"/>
        <w:keepLines w:val="0"/>
        <w:pageBreakBefore w:val="0"/>
        <w:kinsoku/>
        <w:wordWrap/>
        <w:overflowPunct/>
        <w:topLinePunct w:val="0"/>
        <w:autoSpaceDN/>
        <w:bidi w:val="0"/>
        <w:spacing w:line="560" w:lineRule="exact"/>
        <w:textAlignment w:val="auto"/>
        <w:rPr>
          <w:rFonts w:hint="eastAsia"/>
          <w:lang w:val="en-US" w:eastAsia="zh-CN"/>
        </w:rPr>
      </w:pPr>
      <w:r>
        <w:rPr>
          <w:rFonts w:hint="eastAsia"/>
          <w:lang w:val="en-US" w:eastAsia="zh-CN"/>
        </w:rPr>
        <w:t xml:space="preserve">      </w:t>
      </w:r>
    </w:p>
    <w:p w14:paraId="4D74265D">
      <w:pPr>
        <w:keepNext w:val="0"/>
        <w:keepLines w:val="0"/>
        <w:pageBreakBefore w:val="0"/>
        <w:kinsoku/>
        <w:wordWrap/>
        <w:overflowPunct/>
        <w:topLinePunct w:val="0"/>
        <w:autoSpaceDN/>
        <w:bidi w:val="0"/>
        <w:spacing w:line="560" w:lineRule="exact"/>
        <w:textAlignment w:val="auto"/>
        <w:rPr>
          <w:rFonts w:hint="eastAsia"/>
          <w:lang w:val="en-US" w:eastAsia="zh-CN"/>
        </w:rPr>
      </w:pPr>
    </w:p>
    <w:p w14:paraId="1379002E">
      <w:pPr>
        <w:keepNext w:val="0"/>
        <w:keepLines w:val="0"/>
        <w:pageBreakBefore w:val="0"/>
        <w:kinsoku/>
        <w:wordWrap/>
        <w:overflowPunct/>
        <w:topLinePunct w:val="0"/>
        <w:autoSpaceDN/>
        <w:bidi w:val="0"/>
        <w:spacing w:line="560" w:lineRule="exact"/>
        <w:textAlignment w:val="auto"/>
        <w:rPr>
          <w:rFonts w:hint="eastAsia"/>
          <w:lang w:val="en-US" w:eastAsia="zh-CN"/>
        </w:rPr>
      </w:pPr>
    </w:p>
    <w:p w14:paraId="0E47696B">
      <w:pPr>
        <w:keepNext w:val="0"/>
        <w:keepLines w:val="0"/>
        <w:pageBreakBefore w:val="0"/>
        <w:kinsoku/>
        <w:wordWrap/>
        <w:overflowPunct/>
        <w:topLinePunct w:val="0"/>
        <w:autoSpaceDN/>
        <w:bidi w:val="0"/>
        <w:spacing w:line="560" w:lineRule="exact"/>
        <w:textAlignment w:val="auto"/>
        <w:rPr>
          <w:rFonts w:hint="eastAsia"/>
          <w:lang w:val="en-US" w:eastAsia="zh-CN"/>
        </w:rPr>
      </w:pPr>
    </w:p>
    <w:p w14:paraId="519F798D">
      <w:pPr>
        <w:keepNext w:val="0"/>
        <w:keepLines w:val="0"/>
        <w:pageBreakBefore w:val="0"/>
        <w:kinsoku/>
        <w:wordWrap/>
        <w:overflowPunct/>
        <w:topLinePunct w:val="0"/>
        <w:autoSpaceDN/>
        <w:bidi w:val="0"/>
        <w:spacing w:line="560" w:lineRule="exact"/>
        <w:textAlignment w:val="auto"/>
        <w:rPr>
          <w:rFonts w:hint="eastAsia"/>
          <w:lang w:val="en-US" w:eastAsia="zh-CN"/>
        </w:rPr>
      </w:pPr>
    </w:p>
    <w:p w14:paraId="513B0566">
      <w:pPr>
        <w:pStyle w:val="2"/>
        <w:rPr>
          <w:rFonts w:hint="eastAsia"/>
          <w:lang w:val="en-US" w:eastAsia="zh-CN"/>
        </w:rPr>
      </w:pPr>
    </w:p>
    <w:p w14:paraId="7EA3D356">
      <w:pPr>
        <w:rPr>
          <w:rFonts w:hint="eastAsia"/>
          <w:lang w:val="en-US" w:eastAsia="zh-CN"/>
        </w:rPr>
      </w:pPr>
    </w:p>
    <w:p w14:paraId="75F97D86">
      <w:pPr>
        <w:pStyle w:val="2"/>
        <w:rPr>
          <w:rFonts w:hint="eastAsia"/>
          <w:lang w:val="en-US" w:eastAsia="zh-CN"/>
        </w:rPr>
      </w:pPr>
    </w:p>
    <w:p w14:paraId="376BBFCF">
      <w:pPr>
        <w:rPr>
          <w:rFonts w:hint="eastAsia"/>
          <w:lang w:val="en-US" w:eastAsia="zh-CN"/>
        </w:rPr>
      </w:pPr>
    </w:p>
    <w:p w14:paraId="4C623B5C">
      <w:pPr>
        <w:pStyle w:val="2"/>
        <w:rPr>
          <w:rFonts w:hint="eastAsia"/>
          <w:lang w:val="en-US" w:eastAsia="zh-CN"/>
        </w:rPr>
      </w:pPr>
    </w:p>
    <w:p w14:paraId="1BAA7231">
      <w:pPr>
        <w:keepNext w:val="0"/>
        <w:keepLines w:val="0"/>
        <w:pageBreakBefore w:val="0"/>
        <w:kinsoku/>
        <w:wordWrap/>
        <w:overflowPunct/>
        <w:topLinePunct w:val="0"/>
        <w:autoSpaceDN/>
        <w:bidi w:val="0"/>
        <w:spacing w:line="560" w:lineRule="exact"/>
        <w:textAlignment w:val="auto"/>
        <w:rPr>
          <w:rFonts w:hint="eastAsia"/>
          <w:lang w:val="en-US" w:eastAsia="zh-CN"/>
        </w:rPr>
      </w:pPr>
    </w:p>
    <w:p w14:paraId="54E3B31F">
      <w:pPr>
        <w:keepNext w:val="0"/>
        <w:keepLines w:val="0"/>
        <w:pageBreakBefore w:val="0"/>
        <w:kinsoku/>
        <w:wordWrap/>
        <w:overflowPunct/>
        <w:topLinePunct w:val="0"/>
        <w:autoSpaceDN/>
        <w:bidi w:val="0"/>
        <w:spacing w:line="560" w:lineRule="exact"/>
        <w:textAlignment w:val="auto"/>
        <w:rPr>
          <w:rFonts w:hint="eastAsia"/>
          <w:lang w:val="en-US" w:eastAsia="zh-CN"/>
        </w:rPr>
      </w:pPr>
    </w:p>
    <w:p w14:paraId="2191F290">
      <w:pPr>
        <w:keepNext w:val="0"/>
        <w:keepLines w:val="0"/>
        <w:pageBreakBefore w:val="0"/>
        <w:kinsoku/>
        <w:wordWrap/>
        <w:overflowPunct/>
        <w:topLinePunct w:val="0"/>
        <w:autoSpaceDN/>
        <w:bidi w:val="0"/>
        <w:spacing w:line="560" w:lineRule="exact"/>
        <w:textAlignment w:val="auto"/>
        <w:rPr>
          <w:rFonts w:hint="eastAsia" w:ascii="Times New Roman" w:hAnsi="Times New Roman" w:eastAsia="仿宋_GB2312" w:cs="Times New Roman"/>
          <w:b w:val="0"/>
          <w:bCs w:val="0"/>
          <w:color w:val="000000" w:themeColor="text1"/>
          <w:sz w:val="32"/>
          <w:szCs w:val="32"/>
          <w:lang w:eastAsia="zh-CN"/>
        </w:rPr>
      </w:pPr>
      <w:r>
        <w:drawing>
          <wp:anchor distT="0" distB="0" distL="114300" distR="114300" simplePos="0" relativeHeight="251660288" behindDoc="1" locked="0" layoutInCell="1" allowOverlap="1">
            <wp:simplePos x="0" y="0"/>
            <wp:positionH relativeFrom="column">
              <wp:posOffset>404495</wp:posOffset>
            </wp:positionH>
            <wp:positionV relativeFrom="paragraph">
              <wp:posOffset>-2473325</wp:posOffset>
            </wp:positionV>
            <wp:extent cx="4826000" cy="2743200"/>
            <wp:effectExtent l="4445" t="4445" r="8255" b="14605"/>
            <wp:wrapTight wrapText="bothSides">
              <wp:wrapPolygon>
                <wp:start x="-20" y="-35"/>
                <wp:lineTo x="-20" y="21565"/>
                <wp:lineTo x="21552" y="21565"/>
                <wp:lineTo x="21552" y="-35"/>
                <wp:lineTo x="-20" y="-35"/>
              </wp:wrapPolygon>
            </wp:wrapTight>
            <wp:docPr id="3"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14:paraId="689E392D">
      <w:pPr>
        <w:keepNext w:val="0"/>
        <w:keepLines w:val="0"/>
        <w:pageBreakBefore w:val="0"/>
        <w:widowControl/>
        <w:kinsoku/>
        <w:wordWrap/>
        <w:overflowPunct/>
        <w:topLinePunct w:val="0"/>
        <w:autoSpaceDE/>
        <w:autoSpaceDN/>
        <w:bidi w:val="0"/>
        <w:spacing w:beforeAutospacing="0" w:afterAutospacing="0" w:line="560" w:lineRule="exact"/>
        <w:jc w:val="center"/>
        <w:textAlignment w:val="auto"/>
        <w:rPr>
          <w:rFonts w:hint="eastAsia" w:ascii="Times New Roman" w:hAnsi="Times New Roman" w:eastAsia="仿宋_GB2312" w:cs="Times New Roman"/>
          <w:b w:val="0"/>
          <w:bCs w:val="0"/>
          <w:color w:val="000000" w:themeColor="text1"/>
          <w:sz w:val="32"/>
          <w:szCs w:val="32"/>
        </w:rPr>
      </w:pPr>
      <w:r>
        <w:rPr>
          <w:rFonts w:hint="eastAsia" w:ascii="Times New Roman" w:hAnsi="Times New Roman" w:eastAsia="仿宋_GB2312" w:cs="Times New Roman"/>
          <w:b w:val="0"/>
          <w:bCs w:val="0"/>
          <w:color w:val="000000" w:themeColor="text1"/>
          <w:sz w:val="32"/>
          <w:szCs w:val="32"/>
        </w:rPr>
        <w:t>图2.支出决算图</w:t>
      </w:r>
    </w:p>
    <w:p w14:paraId="14A79EA7">
      <w:pPr>
        <w:pStyle w:val="2"/>
        <w:keepNext w:val="0"/>
        <w:keepLines w:val="0"/>
        <w:pageBreakBefore w:val="0"/>
        <w:kinsoku/>
        <w:wordWrap/>
        <w:overflowPunct/>
        <w:topLinePunct w:val="0"/>
        <w:autoSpaceDN/>
        <w:bidi w:val="0"/>
        <w:spacing w:before="0" w:after="0" w:line="560" w:lineRule="exact"/>
        <w:textAlignment w:val="auto"/>
      </w:pPr>
    </w:p>
    <w:p w14:paraId="13F958C7">
      <w:pPr>
        <w:keepNext w:val="0"/>
        <w:keepLines w:val="0"/>
        <w:pageBreakBefore w:val="0"/>
        <w:widowControl/>
        <w:kinsoku/>
        <w:wordWrap/>
        <w:overflowPunct/>
        <w:topLinePunct w:val="0"/>
        <w:autoSpaceDE/>
        <w:autoSpaceDN/>
        <w:bidi w:val="0"/>
        <w:spacing w:beforeAutospacing="0" w:afterAutospacing="0" w:line="560" w:lineRule="exact"/>
        <w:jc w:val="left"/>
        <w:textAlignment w:val="auto"/>
        <w:rPr>
          <w:rFonts w:hint="eastAsia" w:ascii="黑体" w:hAnsi="黑体" w:eastAsia="黑体" w:cs="Times New Roman"/>
          <w:sz w:val="32"/>
          <w:szCs w:val="32"/>
          <w:lang w:val="en-US" w:eastAsia="zh-CN"/>
        </w:rPr>
      </w:pPr>
      <w:r>
        <w:rPr>
          <w:rFonts w:ascii="Calibri" w:hAnsi="Calibri" w:eastAsia="Calibri" w:cs="Calibri"/>
          <w:b/>
          <w:bCs/>
          <w:kern w:val="0"/>
          <w:sz w:val="27"/>
          <w:szCs w:val="27"/>
        </w:rPr>
        <w:t> </w:t>
      </w:r>
      <w:r>
        <w:rPr>
          <w:rFonts w:ascii="黑体" w:hAnsi="黑体" w:eastAsia="黑体" w:cs="黑体"/>
          <w:b/>
          <w:bCs/>
          <w:kern w:val="0"/>
          <w:sz w:val="27"/>
          <w:szCs w:val="27"/>
        </w:rPr>
        <w:t xml:space="preserve"> </w:t>
      </w:r>
      <w:r>
        <w:rPr>
          <w:rFonts w:ascii="Calibri" w:hAnsi="Calibri" w:eastAsia="Calibri" w:cs="Calibri"/>
          <w:b/>
          <w:bCs/>
          <w:kern w:val="0"/>
          <w:sz w:val="27"/>
          <w:szCs w:val="27"/>
        </w:rPr>
        <w:t> </w:t>
      </w:r>
      <w:r>
        <w:rPr>
          <w:rFonts w:hint="eastAsia" w:ascii="Calibri" w:hAnsi="Calibri" w:eastAsia="宋体" w:cs="Calibri"/>
          <w:b/>
          <w:bCs/>
          <w:kern w:val="0"/>
          <w:sz w:val="27"/>
          <w:szCs w:val="27"/>
          <w:lang w:val="en-US" w:eastAsia="zh-CN"/>
        </w:rPr>
        <w:t xml:space="preserve">  </w:t>
      </w:r>
      <w:r>
        <w:rPr>
          <w:rFonts w:hint="eastAsia" w:ascii="黑体" w:hAnsi="黑体" w:eastAsia="黑体" w:cs="Times New Roman"/>
          <w:sz w:val="32"/>
          <w:szCs w:val="32"/>
          <w:lang w:val="en-US" w:eastAsia="zh-CN"/>
        </w:rPr>
        <w:t xml:space="preserve"> 四、财政拨款收入支出决算总体情况说明</w:t>
      </w:r>
    </w:p>
    <w:p w14:paraId="63F29005">
      <w:pPr>
        <w:keepNext w:val="0"/>
        <w:keepLines w:val="0"/>
        <w:pageBreakBefore w:val="0"/>
        <w:widowControl/>
        <w:kinsoku/>
        <w:wordWrap/>
        <w:overflowPunct/>
        <w:topLinePunct w:val="0"/>
        <w:autoSpaceDE/>
        <w:autoSpaceDN/>
        <w:bidi w:val="0"/>
        <w:spacing w:beforeAutospacing="0" w:afterAutospacing="0" w:line="560" w:lineRule="exact"/>
        <w:ind w:firstLine="640" w:firstLineChars="200"/>
        <w:jc w:val="left"/>
        <w:textAlignment w:val="auto"/>
        <w:rPr>
          <w:rFonts w:hint="eastAsia" w:ascii="Times New Roman" w:hAnsi="Times New Roman" w:eastAsia="仿宋_GB2312" w:cs="Times New Roman"/>
          <w:b w:val="0"/>
          <w:bCs w:val="0"/>
          <w:color w:val="000000" w:themeColor="text1"/>
          <w:sz w:val="32"/>
          <w:szCs w:val="32"/>
        </w:rPr>
      </w:pPr>
      <w:r>
        <w:rPr>
          <w:rFonts w:hint="eastAsia" w:ascii="Times New Roman" w:hAnsi="Times New Roman" w:eastAsia="仿宋_GB2312" w:cs="Times New Roman"/>
          <w:b w:val="0"/>
          <w:bCs w:val="0"/>
          <w:color w:val="000000" w:themeColor="text1"/>
          <w:sz w:val="32"/>
          <w:szCs w:val="32"/>
        </w:rPr>
        <w:t>杭锦旗人民检察院 2023年度财政拨款收入、支出决算总计 1,328.81万元，与年初预算相比，收、支总计各增加38.80万元，增长3.01%，变动原因：</w:t>
      </w:r>
      <w:r>
        <w:rPr>
          <w:rFonts w:hint="default" w:ascii="Times New Roman" w:hAnsi="Times New Roman" w:eastAsia="仿宋_GB2312" w:cs="Times New Roman"/>
          <w:b w:val="0"/>
          <w:bCs w:val="0"/>
          <w:color w:val="000000" w:themeColor="text1"/>
          <w:sz w:val="32"/>
          <w:szCs w:val="32"/>
          <w:highlight w:val="none"/>
          <w:lang w:eastAsia="zh-CN"/>
        </w:rPr>
        <w:t>一是追加预算共计</w:t>
      </w:r>
      <w:r>
        <w:rPr>
          <w:rFonts w:hint="default" w:ascii="Times New Roman" w:hAnsi="Times New Roman" w:eastAsia="仿宋_GB2312" w:cs="Times New Roman"/>
          <w:b w:val="0"/>
          <w:bCs w:val="0"/>
          <w:color w:val="000000" w:themeColor="text1"/>
          <w:sz w:val="32"/>
          <w:szCs w:val="32"/>
          <w:highlight w:val="none"/>
          <w:lang w:val="en-US" w:eastAsia="zh-CN"/>
        </w:rPr>
        <w:t>80.7万元，包括：</w:t>
      </w:r>
      <w:r>
        <w:rPr>
          <w:rFonts w:hint="default" w:ascii="Times New Roman" w:hAnsi="Times New Roman" w:eastAsia="仿宋_GB2312" w:cs="Times New Roman"/>
          <w:b w:val="0"/>
          <w:bCs w:val="0"/>
          <w:color w:val="000000" w:themeColor="text1"/>
          <w:sz w:val="32"/>
          <w:szCs w:val="32"/>
          <w:highlight w:val="none"/>
          <w:lang w:eastAsia="zh-CN"/>
        </w:rPr>
        <w:t>办案（业务）经费</w:t>
      </w:r>
      <w:r>
        <w:rPr>
          <w:rFonts w:hint="default" w:ascii="Times New Roman" w:hAnsi="Times New Roman" w:eastAsia="仿宋_GB2312" w:cs="Times New Roman"/>
          <w:b w:val="0"/>
          <w:bCs w:val="0"/>
          <w:color w:val="000000" w:themeColor="text1"/>
          <w:sz w:val="32"/>
          <w:szCs w:val="32"/>
          <w:highlight w:val="none"/>
          <w:lang w:val="en-US" w:eastAsia="zh-CN"/>
        </w:rPr>
        <w:t>35万元，2023年未休假补贴41.8万元，艰边补贴3.9万元。二是年末收回预算41.9万元</w:t>
      </w:r>
      <w:r>
        <w:rPr>
          <w:rFonts w:hint="eastAsia" w:ascii="Times New Roman" w:hAnsi="Times New Roman" w:eastAsia="仿宋_GB2312" w:cs="Times New Roman"/>
          <w:b w:val="0"/>
          <w:bCs w:val="0"/>
          <w:color w:val="000000" w:themeColor="text1"/>
          <w:sz w:val="32"/>
          <w:szCs w:val="32"/>
        </w:rPr>
        <w:t>；与上年决算相比，收、支总计各增加47.35万元，增长3.69%，变动原因：</w:t>
      </w:r>
      <w:r>
        <w:rPr>
          <w:rFonts w:hint="default" w:ascii="Times New Roman" w:hAnsi="Times New Roman" w:eastAsia="仿宋_GB2312" w:cs="Times New Roman"/>
          <w:b w:val="0"/>
          <w:bCs w:val="0"/>
          <w:color w:val="000000" w:themeColor="text1"/>
          <w:sz w:val="32"/>
          <w:szCs w:val="32"/>
          <w:lang w:val="en-US" w:eastAsia="zh-CN"/>
        </w:rPr>
        <w:t>一是从2023年开始做实职业年金</w:t>
      </w:r>
      <w:r>
        <w:rPr>
          <w:rFonts w:hint="default" w:ascii="Times New Roman" w:hAnsi="Times New Roman" w:eastAsia="仿宋_GB2312" w:cs="Times New Roman"/>
          <w:b w:val="0"/>
          <w:bCs w:val="0"/>
          <w:color w:val="000000" w:themeColor="text1"/>
          <w:sz w:val="32"/>
          <w:szCs w:val="32"/>
          <w:lang w:eastAsia="zh-CN"/>
        </w:rPr>
        <w:t>，</w:t>
      </w:r>
      <w:r>
        <w:rPr>
          <w:rFonts w:hint="default" w:ascii="Times New Roman" w:hAnsi="Times New Roman" w:eastAsia="仿宋_GB2312" w:cs="Times New Roman"/>
          <w:b w:val="0"/>
          <w:bCs w:val="0"/>
          <w:color w:val="000000" w:themeColor="text1"/>
          <w:sz w:val="32"/>
          <w:szCs w:val="32"/>
          <w:lang w:val="en-US" w:eastAsia="zh-CN"/>
        </w:rPr>
        <w:t>人员经费相应</w:t>
      </w:r>
      <w:r>
        <w:rPr>
          <w:rFonts w:hint="default" w:ascii="Times New Roman" w:hAnsi="Times New Roman" w:eastAsia="仿宋_GB2312" w:cs="Times New Roman"/>
          <w:b w:val="0"/>
          <w:bCs w:val="0"/>
          <w:color w:val="000000" w:themeColor="text1"/>
          <w:sz w:val="32"/>
          <w:szCs w:val="32"/>
          <w:lang w:eastAsia="zh-CN"/>
        </w:rPr>
        <w:t>增加</w:t>
      </w:r>
      <w:r>
        <w:rPr>
          <w:rFonts w:hint="default" w:ascii="Times New Roman" w:hAnsi="Times New Roman" w:eastAsia="仿宋_GB2312" w:cs="Times New Roman"/>
          <w:b w:val="0"/>
          <w:bCs w:val="0"/>
          <w:color w:val="000000" w:themeColor="text1"/>
          <w:sz w:val="32"/>
          <w:szCs w:val="32"/>
        </w:rPr>
        <w:t>。</w:t>
      </w:r>
      <w:r>
        <w:rPr>
          <w:rFonts w:hint="default" w:ascii="Times New Roman" w:hAnsi="Times New Roman" w:eastAsia="仿宋_GB2312" w:cs="Times New Roman"/>
          <w:b w:val="0"/>
          <w:bCs w:val="0"/>
          <w:color w:val="000000" w:themeColor="text1"/>
          <w:kern w:val="0"/>
          <w:sz w:val="32"/>
          <w:szCs w:val="32"/>
          <w:highlight w:val="none"/>
          <w:lang w:val="en-US" w:eastAsia="zh-CN" w:bidi="ar"/>
        </w:rPr>
        <w:t>二</w:t>
      </w:r>
      <w:r>
        <w:rPr>
          <w:rFonts w:hint="default" w:ascii="Times New Roman" w:hAnsi="Times New Roman" w:eastAsia="仿宋_GB2312" w:cs="Times New Roman"/>
          <w:b w:val="0"/>
          <w:bCs w:val="0"/>
          <w:color w:val="000000" w:themeColor="text1"/>
          <w:kern w:val="0"/>
          <w:sz w:val="32"/>
          <w:szCs w:val="32"/>
          <w:highlight w:val="none"/>
          <w:lang w:eastAsia="zh-CN" w:bidi="ar"/>
        </w:rPr>
        <w:t>是自治区财政厅</w:t>
      </w:r>
      <w:r>
        <w:rPr>
          <w:rFonts w:hint="default" w:ascii="Times New Roman" w:hAnsi="Times New Roman" w:eastAsia="仿宋_GB2312" w:cs="Times New Roman"/>
          <w:b w:val="0"/>
          <w:bCs w:val="0"/>
          <w:color w:val="000000" w:themeColor="text1"/>
          <w:kern w:val="0"/>
          <w:sz w:val="32"/>
          <w:szCs w:val="32"/>
          <w:highlight w:val="none"/>
          <w:lang w:val="en-US" w:eastAsia="zh-CN" w:bidi="ar"/>
        </w:rPr>
        <w:t>追加</w:t>
      </w:r>
      <w:r>
        <w:rPr>
          <w:rFonts w:hint="default" w:ascii="Times New Roman" w:hAnsi="Times New Roman" w:eastAsia="仿宋_GB2312" w:cs="Times New Roman"/>
          <w:b w:val="0"/>
          <w:bCs w:val="0"/>
          <w:color w:val="000000" w:themeColor="text1"/>
          <w:sz w:val="32"/>
          <w:szCs w:val="32"/>
          <w:highlight w:val="none"/>
          <w:lang w:val="en-US" w:eastAsia="zh-CN"/>
        </w:rPr>
        <w:t>2023年未休假补贴41.8万元，人员经费相应增加</w:t>
      </w:r>
      <w:r>
        <w:rPr>
          <w:rFonts w:hint="default" w:ascii="Times New Roman" w:hAnsi="Times New Roman" w:eastAsia="仿宋_GB2312" w:cs="Times New Roman"/>
          <w:b w:val="0"/>
          <w:bCs w:val="0"/>
          <w:color w:val="000000" w:themeColor="text1"/>
          <w:kern w:val="0"/>
          <w:sz w:val="32"/>
          <w:szCs w:val="32"/>
          <w:highlight w:val="none"/>
          <w:lang w:eastAsia="zh-CN" w:bidi="ar"/>
        </w:rPr>
        <w:t>。</w:t>
      </w:r>
    </w:p>
    <w:p w14:paraId="4F49B53B">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黑体" w:hAnsi="黑体" w:eastAsia="黑体" w:cs="Times New Roman"/>
          <w:sz w:val="32"/>
          <w:szCs w:val="32"/>
          <w:lang w:val="en-US" w:eastAsia="zh-CN"/>
        </w:rPr>
      </w:pPr>
    </w:p>
    <w:p w14:paraId="3A79C60D">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黑体" w:hAnsi="黑体" w:eastAsia="黑体" w:cs="Times New Roman"/>
          <w:sz w:val="32"/>
          <w:szCs w:val="32"/>
          <w:lang w:val="en-US" w:eastAsia="zh-CN"/>
        </w:rPr>
      </w:pPr>
    </w:p>
    <w:p w14:paraId="511DB80D">
      <w:pPr>
        <w:keepNext w:val="0"/>
        <w:keepLines w:val="0"/>
        <w:pageBreakBefore w:val="0"/>
        <w:widowControl/>
        <w:kinsoku/>
        <w:wordWrap/>
        <w:overflowPunct/>
        <w:topLinePunct w:val="0"/>
        <w:autoSpaceDE/>
        <w:autoSpaceDN/>
        <w:bidi w:val="0"/>
        <w:adjustRightInd/>
        <w:snapToGrid/>
        <w:spacing w:beforeAutospacing="0" w:afterAutospacing="0" w:line="560" w:lineRule="exact"/>
        <w:jc w:val="left"/>
        <w:textAlignment w:val="auto"/>
        <w:rPr>
          <w:rFonts w:hint="eastAsia" w:ascii="黑体" w:hAnsi="黑体" w:eastAsia="黑体" w:cs="Times New Roman"/>
          <w:sz w:val="32"/>
          <w:szCs w:val="32"/>
          <w:lang w:val="en-US" w:eastAsia="zh-CN"/>
        </w:rPr>
      </w:pPr>
    </w:p>
    <w:p w14:paraId="281D41F6">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五、一般公共预算财政拨款支出决算情况说明</w:t>
      </w:r>
    </w:p>
    <w:p w14:paraId="2CD6D82E">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ascii="Times New Roman" w:hAnsi="Times New Roman" w:eastAsia="Times New Roman" w:cs="Times New Roman"/>
          <w:kern w:val="0"/>
          <w:sz w:val="24"/>
        </w:rPr>
      </w:pPr>
      <w:r>
        <w:rPr>
          <w:rFonts w:hint="eastAsia" w:ascii="Times New Roman" w:hAnsi="Times New Roman" w:eastAsia="仿宋_GB2312" w:cs="Times New Roman"/>
          <w:b w:val="0"/>
          <w:bCs w:val="0"/>
          <w:color w:val="000000" w:themeColor="text1"/>
          <w:sz w:val="32"/>
          <w:szCs w:val="32"/>
        </w:rPr>
        <w:t>杭锦旗人民检察院 2023年度一般公共预算财政拨款支出决算 1,328.81万元。与年初预算 1,290.01万元相比，完成年初预算的 103.01%。其中：</w:t>
      </w:r>
    </w:p>
    <w:p w14:paraId="02551DAD">
      <w:pPr>
        <w:keepNext w:val="0"/>
        <w:keepLines w:val="0"/>
        <w:pageBreakBefore w:val="0"/>
        <w:widowControl/>
        <w:kinsoku/>
        <w:wordWrap/>
        <w:overflowPunct/>
        <w:topLinePunct w:val="0"/>
        <w:autoSpaceDE/>
        <w:autoSpaceDN/>
        <w:bidi w:val="0"/>
        <w:spacing w:beforeAutospacing="0" w:afterAutospacing="0" w:line="560" w:lineRule="exact"/>
        <w:jc w:val="left"/>
        <w:textAlignment w:val="auto"/>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xml:space="preserve">    </w:t>
      </w:r>
      <w:r>
        <w:rPr>
          <w:rFonts w:hint="eastAsia" w:ascii="楷体_GB2312" w:hAnsi="宋体" w:eastAsia="楷体_GB2312" w:cs="楷体_GB2312"/>
          <w:kern w:val="0"/>
          <w:sz w:val="32"/>
          <w:szCs w:val="32"/>
          <w:lang w:bidi="ar"/>
        </w:rPr>
        <w:t>（</w:t>
      </w:r>
      <w:r>
        <w:rPr>
          <w:rFonts w:hint="eastAsia" w:ascii="楷体_GB2312" w:hAnsi="宋体" w:eastAsia="楷体_GB2312" w:cs="楷体_GB2312"/>
          <w:kern w:val="0"/>
          <w:sz w:val="32"/>
          <w:szCs w:val="32"/>
          <w:lang w:val="en-US" w:eastAsia="zh-CN" w:bidi="ar"/>
        </w:rPr>
        <w:t>一</w:t>
      </w:r>
      <w:r>
        <w:rPr>
          <w:rFonts w:hint="eastAsia" w:ascii="楷体_GB2312" w:hAnsi="宋体" w:eastAsia="楷体_GB2312" w:cs="楷体_GB2312"/>
          <w:kern w:val="0"/>
          <w:sz w:val="32"/>
          <w:szCs w:val="32"/>
          <w:lang w:bidi="ar"/>
        </w:rPr>
        <w:t>）公共安全（类）</w:t>
      </w:r>
    </w:p>
    <w:p w14:paraId="66658073">
      <w:pPr>
        <w:keepNext w:val="0"/>
        <w:keepLines w:val="0"/>
        <w:pageBreakBefore w:val="0"/>
        <w:widowControl/>
        <w:kinsoku/>
        <w:wordWrap/>
        <w:overflowPunct/>
        <w:topLinePunct w:val="0"/>
        <w:autoSpaceDE/>
        <w:autoSpaceDN/>
        <w:bidi w:val="0"/>
        <w:spacing w:beforeAutospacing="0" w:afterAutospacing="0" w:line="560" w:lineRule="exact"/>
        <w:textAlignment w:val="auto"/>
        <w:rPr>
          <w:rFonts w:hint="eastAsia" w:ascii="Times New Roman" w:hAnsi="Times New Roman" w:eastAsia="仿宋_GB2312" w:cs="Times New Roman"/>
          <w:b w:val="0"/>
          <w:bCs w:val="0"/>
          <w:color w:val="000000" w:themeColor="text1"/>
          <w:sz w:val="32"/>
          <w:szCs w:val="32"/>
        </w:rPr>
      </w:pPr>
      <w:r>
        <w:rPr>
          <w:rFonts w:ascii="fang_song_gb2312" w:hAnsi="fang_song_gb2312" w:eastAsia="fang_song_gb2312" w:cs="fang_song_gb2312"/>
          <w:kern w:val="0"/>
          <w:sz w:val="27"/>
          <w:szCs w:val="27"/>
        </w:rPr>
        <w:t>   </w:t>
      </w:r>
      <w:r>
        <w:rPr>
          <w:rFonts w:hint="eastAsia" w:ascii="Times New Roman" w:hAnsi="Times New Roman" w:eastAsia="仿宋_GB2312" w:cs="Times New Roman"/>
          <w:b w:val="0"/>
          <w:bCs w:val="0"/>
          <w:color w:val="000000" w:themeColor="text1"/>
          <w:sz w:val="32"/>
          <w:szCs w:val="32"/>
        </w:rPr>
        <w:t xml:space="preserve"> 公共安全类决算数为 1,205.75万元，与年初预算相比增加49.19万元。其中：</w:t>
      </w:r>
    </w:p>
    <w:p w14:paraId="4A9C2EA6">
      <w:pPr>
        <w:keepNext w:val="0"/>
        <w:keepLines w:val="0"/>
        <w:pageBreakBefore w:val="0"/>
        <w:widowControl/>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eastAsia" w:ascii="Times New Roman" w:hAnsi="Times New Roman" w:eastAsia="仿宋_GB2312" w:cs="Times New Roman"/>
          <w:b w:val="0"/>
          <w:bCs w:val="0"/>
          <w:color w:val="000000" w:themeColor="text1"/>
          <w:sz w:val="32"/>
          <w:szCs w:val="32"/>
        </w:rPr>
      </w:pPr>
      <w:r>
        <w:rPr>
          <w:rFonts w:hint="eastAsia" w:ascii="Times New Roman" w:hAnsi="Times New Roman" w:eastAsia="仿宋_GB2312" w:cs="Times New Roman"/>
          <w:b w:val="0"/>
          <w:bCs w:val="0"/>
          <w:color w:val="000000" w:themeColor="text1"/>
          <w:sz w:val="32"/>
          <w:szCs w:val="32"/>
        </w:rPr>
        <w:t>1.检察（款）行政运行（项）。年初预算</w:t>
      </w:r>
      <w:r>
        <w:rPr>
          <w:rFonts w:hint="eastAsia" w:ascii="Times New Roman" w:hAnsi="Times New Roman" w:eastAsia="仿宋_GB2312" w:cs="Times New Roman"/>
          <w:b w:val="0"/>
          <w:bCs w:val="0"/>
          <w:color w:val="000000" w:themeColor="text1"/>
          <w:sz w:val="32"/>
          <w:szCs w:val="32"/>
          <w:lang w:val="en-US" w:eastAsia="zh-CN"/>
        </w:rPr>
        <w:t>519.56</w:t>
      </w:r>
      <w:r>
        <w:rPr>
          <w:rFonts w:hint="eastAsia" w:ascii="Times New Roman" w:hAnsi="Times New Roman" w:eastAsia="仿宋_GB2312" w:cs="Times New Roman"/>
          <w:b w:val="0"/>
          <w:bCs w:val="0"/>
          <w:color w:val="000000" w:themeColor="text1"/>
          <w:sz w:val="32"/>
          <w:szCs w:val="32"/>
        </w:rPr>
        <w:t>万元，支出决算54</w:t>
      </w:r>
      <w:r>
        <w:rPr>
          <w:rFonts w:hint="eastAsia" w:ascii="Times New Roman" w:hAnsi="Times New Roman" w:eastAsia="仿宋_GB2312" w:cs="Times New Roman"/>
          <w:b w:val="0"/>
          <w:bCs w:val="0"/>
          <w:color w:val="000000" w:themeColor="text1"/>
          <w:sz w:val="32"/>
          <w:szCs w:val="32"/>
          <w:lang w:val="en-US" w:eastAsia="zh-CN"/>
        </w:rPr>
        <w:t>0.1</w:t>
      </w:r>
      <w:r>
        <w:rPr>
          <w:rFonts w:hint="eastAsia" w:ascii="Times New Roman" w:hAnsi="Times New Roman" w:eastAsia="仿宋_GB2312" w:cs="Times New Roman"/>
          <w:b w:val="0"/>
          <w:bCs w:val="0"/>
          <w:color w:val="000000" w:themeColor="text1"/>
          <w:sz w:val="32"/>
          <w:szCs w:val="32"/>
        </w:rPr>
        <w:t>万元，完成年初预算的1</w:t>
      </w:r>
      <w:r>
        <w:rPr>
          <w:rFonts w:hint="eastAsia" w:ascii="Times New Roman" w:hAnsi="Times New Roman" w:eastAsia="仿宋_GB2312" w:cs="Times New Roman"/>
          <w:b w:val="0"/>
          <w:bCs w:val="0"/>
          <w:color w:val="000000" w:themeColor="text1"/>
          <w:sz w:val="32"/>
          <w:szCs w:val="32"/>
          <w:lang w:val="en-US" w:eastAsia="zh-CN"/>
        </w:rPr>
        <w:t>03.95</w:t>
      </w:r>
      <w:r>
        <w:rPr>
          <w:rFonts w:hint="eastAsia" w:ascii="Times New Roman" w:hAnsi="Times New Roman" w:eastAsia="仿宋_GB2312" w:cs="Times New Roman"/>
          <w:b w:val="0"/>
          <w:bCs w:val="0"/>
          <w:color w:val="000000" w:themeColor="text1"/>
          <w:sz w:val="32"/>
          <w:szCs w:val="32"/>
        </w:rPr>
        <w:t>%。决算数与年初预算数的差异原因：</w:t>
      </w:r>
      <w:r>
        <w:rPr>
          <w:rFonts w:hint="default" w:ascii="Times New Roman" w:hAnsi="Times New Roman" w:eastAsia="仿宋_GB2312" w:cs="Times New Roman"/>
          <w:b w:val="0"/>
          <w:bCs w:val="0"/>
          <w:color w:val="000000" w:themeColor="text1"/>
          <w:sz w:val="32"/>
          <w:szCs w:val="32"/>
          <w:lang w:val="en-US" w:eastAsia="zh-CN"/>
        </w:rPr>
        <w:t>一是从2023年开始做实职业年金</w:t>
      </w:r>
      <w:r>
        <w:rPr>
          <w:rFonts w:hint="default" w:ascii="Times New Roman" w:hAnsi="Times New Roman" w:eastAsia="仿宋_GB2312" w:cs="Times New Roman"/>
          <w:b w:val="0"/>
          <w:bCs w:val="0"/>
          <w:color w:val="000000" w:themeColor="text1"/>
          <w:sz w:val="32"/>
          <w:szCs w:val="32"/>
          <w:lang w:eastAsia="zh-CN"/>
        </w:rPr>
        <w:t>，</w:t>
      </w:r>
      <w:r>
        <w:rPr>
          <w:rFonts w:hint="default" w:ascii="Times New Roman" w:hAnsi="Times New Roman" w:eastAsia="仿宋_GB2312" w:cs="Times New Roman"/>
          <w:b w:val="0"/>
          <w:bCs w:val="0"/>
          <w:color w:val="000000" w:themeColor="text1"/>
          <w:sz w:val="32"/>
          <w:szCs w:val="32"/>
          <w:lang w:val="en-US" w:eastAsia="zh-CN"/>
        </w:rPr>
        <w:t>人员经费相应</w:t>
      </w:r>
      <w:r>
        <w:rPr>
          <w:rFonts w:hint="default" w:ascii="Times New Roman" w:hAnsi="Times New Roman" w:eastAsia="仿宋_GB2312" w:cs="Times New Roman"/>
          <w:b w:val="0"/>
          <w:bCs w:val="0"/>
          <w:color w:val="000000" w:themeColor="text1"/>
          <w:sz w:val="32"/>
          <w:szCs w:val="32"/>
          <w:lang w:eastAsia="zh-CN"/>
        </w:rPr>
        <w:t>增加</w:t>
      </w:r>
      <w:r>
        <w:rPr>
          <w:rFonts w:hint="default" w:ascii="Times New Roman" w:hAnsi="Times New Roman" w:eastAsia="仿宋_GB2312" w:cs="Times New Roman"/>
          <w:b w:val="0"/>
          <w:bCs w:val="0"/>
          <w:color w:val="000000" w:themeColor="text1"/>
          <w:sz w:val="32"/>
          <w:szCs w:val="32"/>
        </w:rPr>
        <w:t>。</w:t>
      </w:r>
      <w:r>
        <w:rPr>
          <w:rFonts w:hint="default" w:ascii="Times New Roman" w:hAnsi="Times New Roman" w:eastAsia="仿宋_GB2312" w:cs="Times New Roman"/>
          <w:b w:val="0"/>
          <w:bCs w:val="0"/>
          <w:color w:val="000000" w:themeColor="text1"/>
          <w:sz w:val="32"/>
          <w:szCs w:val="32"/>
          <w:lang w:val="en-US" w:eastAsia="zh-CN"/>
        </w:rPr>
        <w:t>二</w:t>
      </w:r>
      <w:r>
        <w:rPr>
          <w:rFonts w:hint="default" w:ascii="Times New Roman" w:hAnsi="Times New Roman" w:eastAsia="仿宋_GB2312" w:cs="Times New Roman"/>
          <w:b w:val="0"/>
          <w:bCs w:val="0"/>
          <w:color w:val="000000" w:themeColor="text1"/>
          <w:sz w:val="32"/>
          <w:szCs w:val="32"/>
          <w:lang w:eastAsia="zh-CN"/>
        </w:rPr>
        <w:t>是自治区财政厅</w:t>
      </w:r>
      <w:r>
        <w:rPr>
          <w:rFonts w:hint="default" w:ascii="Times New Roman" w:hAnsi="Times New Roman" w:eastAsia="仿宋_GB2312" w:cs="Times New Roman"/>
          <w:b w:val="0"/>
          <w:bCs w:val="0"/>
          <w:color w:val="000000" w:themeColor="text1"/>
          <w:sz w:val="32"/>
          <w:szCs w:val="32"/>
          <w:lang w:val="en-US" w:eastAsia="zh-CN"/>
        </w:rPr>
        <w:t>追加2023年未休假补贴41.8万元，人员经费相应增加</w:t>
      </w:r>
      <w:r>
        <w:rPr>
          <w:rFonts w:hint="default" w:ascii="Times New Roman" w:hAnsi="Times New Roman" w:eastAsia="仿宋_GB2312" w:cs="Times New Roman"/>
          <w:b w:val="0"/>
          <w:bCs w:val="0"/>
          <w:color w:val="000000" w:themeColor="text1"/>
          <w:sz w:val="32"/>
          <w:szCs w:val="32"/>
          <w:lang w:eastAsia="zh-CN"/>
        </w:rPr>
        <w:t>。</w:t>
      </w:r>
    </w:p>
    <w:p w14:paraId="17306390">
      <w:pPr>
        <w:keepNext w:val="0"/>
        <w:keepLines w:val="0"/>
        <w:pageBreakBefore w:val="0"/>
        <w:widowControl/>
        <w:kinsoku/>
        <w:wordWrap/>
        <w:overflowPunct/>
        <w:topLinePunct w:val="0"/>
        <w:autoSpaceDE/>
        <w:autoSpaceDN/>
        <w:bidi w:val="0"/>
        <w:spacing w:beforeAutospacing="0" w:afterAutospacing="0" w:line="560" w:lineRule="exact"/>
        <w:ind w:firstLine="640" w:firstLineChars="200"/>
        <w:textAlignment w:val="auto"/>
        <w:rPr>
          <w:rFonts w:hint="eastAsia" w:ascii="Times New Roman" w:hAnsi="Times New Roman" w:eastAsia="仿宋_GB2312" w:cs="Times New Roman"/>
          <w:b w:val="0"/>
          <w:bCs w:val="0"/>
          <w:color w:val="000000" w:themeColor="text1"/>
          <w:sz w:val="32"/>
          <w:szCs w:val="32"/>
        </w:rPr>
      </w:pPr>
      <w:r>
        <w:rPr>
          <w:rFonts w:hint="eastAsia" w:ascii="Times New Roman" w:hAnsi="Times New Roman" w:eastAsia="仿宋_GB2312" w:cs="Times New Roman"/>
          <w:b w:val="0"/>
          <w:bCs w:val="0"/>
          <w:color w:val="000000" w:themeColor="text1"/>
          <w:sz w:val="32"/>
          <w:szCs w:val="32"/>
        </w:rPr>
        <w:t>2.检察（款）一般行政管理事务（项）。年初预算</w:t>
      </w:r>
      <w:r>
        <w:rPr>
          <w:rFonts w:hint="eastAsia" w:ascii="Times New Roman" w:hAnsi="Times New Roman" w:eastAsia="仿宋_GB2312" w:cs="Times New Roman"/>
          <w:b w:val="0"/>
          <w:bCs w:val="0"/>
          <w:color w:val="000000" w:themeColor="text1"/>
          <w:sz w:val="32"/>
          <w:szCs w:val="32"/>
          <w:lang w:val="en-US" w:eastAsia="zh-CN"/>
        </w:rPr>
        <w:t>637</w:t>
      </w:r>
      <w:r>
        <w:rPr>
          <w:rFonts w:hint="eastAsia" w:ascii="Times New Roman" w:hAnsi="Times New Roman" w:eastAsia="仿宋_GB2312" w:cs="Times New Roman"/>
          <w:b w:val="0"/>
          <w:bCs w:val="0"/>
          <w:color w:val="000000" w:themeColor="text1"/>
          <w:sz w:val="32"/>
          <w:szCs w:val="32"/>
        </w:rPr>
        <w:t>万元，决算支出</w:t>
      </w:r>
      <w:r>
        <w:rPr>
          <w:rFonts w:hint="eastAsia" w:ascii="Times New Roman" w:hAnsi="Times New Roman" w:eastAsia="仿宋_GB2312" w:cs="Times New Roman"/>
          <w:b w:val="0"/>
          <w:bCs w:val="0"/>
          <w:color w:val="000000" w:themeColor="text1"/>
          <w:sz w:val="32"/>
          <w:szCs w:val="32"/>
          <w:lang w:val="en-US" w:eastAsia="zh-CN"/>
        </w:rPr>
        <w:t>660.65</w:t>
      </w:r>
      <w:r>
        <w:rPr>
          <w:rFonts w:hint="eastAsia" w:ascii="Times New Roman" w:hAnsi="Times New Roman" w:eastAsia="仿宋_GB2312" w:cs="Times New Roman"/>
          <w:b w:val="0"/>
          <w:bCs w:val="0"/>
          <w:color w:val="000000" w:themeColor="text1"/>
          <w:sz w:val="32"/>
          <w:szCs w:val="32"/>
        </w:rPr>
        <w:t>万元，完成年初预算的</w:t>
      </w:r>
      <w:r>
        <w:rPr>
          <w:rFonts w:hint="eastAsia" w:ascii="Times New Roman" w:hAnsi="Times New Roman" w:eastAsia="仿宋_GB2312" w:cs="Times New Roman"/>
          <w:b w:val="0"/>
          <w:bCs w:val="0"/>
          <w:color w:val="000000" w:themeColor="text1"/>
          <w:sz w:val="32"/>
          <w:szCs w:val="32"/>
          <w:lang w:val="en-US" w:eastAsia="zh-CN"/>
        </w:rPr>
        <w:t>103.71</w:t>
      </w:r>
      <w:r>
        <w:rPr>
          <w:rFonts w:hint="eastAsia" w:ascii="Times New Roman" w:hAnsi="Times New Roman" w:eastAsia="仿宋_GB2312" w:cs="Times New Roman"/>
          <w:b w:val="0"/>
          <w:bCs w:val="0"/>
          <w:color w:val="000000" w:themeColor="text1"/>
          <w:sz w:val="32"/>
          <w:szCs w:val="32"/>
        </w:rPr>
        <w:t>%。决算数与年初预算数的差异原因：2022年追加办案（业务）经费</w:t>
      </w:r>
      <w:r>
        <w:rPr>
          <w:rFonts w:hint="eastAsia" w:ascii="Times New Roman" w:hAnsi="Times New Roman" w:eastAsia="仿宋_GB2312" w:cs="Times New Roman"/>
          <w:b w:val="0"/>
          <w:bCs w:val="0"/>
          <w:color w:val="000000" w:themeColor="text1"/>
          <w:sz w:val="32"/>
          <w:szCs w:val="32"/>
          <w:lang w:val="en-US" w:eastAsia="zh-CN"/>
        </w:rPr>
        <w:t>35</w:t>
      </w:r>
      <w:r>
        <w:rPr>
          <w:rFonts w:hint="eastAsia" w:ascii="Times New Roman" w:hAnsi="Times New Roman" w:eastAsia="仿宋_GB2312" w:cs="Times New Roman"/>
          <w:b w:val="0"/>
          <w:bCs w:val="0"/>
          <w:color w:val="000000" w:themeColor="text1"/>
          <w:sz w:val="32"/>
          <w:szCs w:val="32"/>
        </w:rPr>
        <w:t>万元。</w:t>
      </w:r>
    </w:p>
    <w:p w14:paraId="4DBCF15D">
      <w:pPr>
        <w:keepNext w:val="0"/>
        <w:keepLines w:val="0"/>
        <w:pageBreakBefore w:val="0"/>
        <w:widowControl/>
        <w:kinsoku/>
        <w:wordWrap/>
        <w:overflowPunct/>
        <w:topLinePunct w:val="0"/>
        <w:autoSpaceDE/>
        <w:autoSpaceDN/>
        <w:bidi w:val="0"/>
        <w:spacing w:beforeAutospacing="0" w:afterAutospacing="0" w:line="560" w:lineRule="exact"/>
        <w:ind w:firstLine="640" w:firstLineChars="200"/>
        <w:textAlignment w:val="auto"/>
        <w:rPr>
          <w:rFonts w:hint="eastAsia" w:ascii="Times New Roman" w:hAnsi="Times New Roman" w:eastAsia="仿宋_GB2312" w:cs="Times New Roman"/>
          <w:b w:val="0"/>
          <w:bCs w:val="0"/>
          <w:color w:val="000000" w:themeColor="text1"/>
          <w:sz w:val="32"/>
          <w:szCs w:val="32"/>
        </w:rPr>
      </w:pPr>
      <w:r>
        <w:rPr>
          <w:rFonts w:hint="eastAsia" w:ascii="Times New Roman" w:hAnsi="Times New Roman" w:eastAsia="仿宋_GB2312" w:cs="Times New Roman"/>
          <w:b w:val="0"/>
          <w:bCs w:val="0"/>
          <w:color w:val="000000" w:themeColor="text1"/>
          <w:sz w:val="32"/>
          <w:szCs w:val="32"/>
        </w:rPr>
        <w:t>3</w:t>
      </w:r>
      <w:r>
        <w:rPr>
          <w:rFonts w:hint="eastAsia" w:ascii="Times New Roman" w:hAnsi="Times New Roman" w:eastAsia="仿宋_GB2312" w:cs="Times New Roman"/>
          <w:b w:val="0"/>
          <w:bCs w:val="0"/>
          <w:color w:val="000000" w:themeColor="text1"/>
          <w:sz w:val="32"/>
          <w:szCs w:val="32"/>
          <w:lang w:val="en-US" w:eastAsia="zh-CN"/>
        </w:rPr>
        <w:t>.</w:t>
      </w:r>
      <w:r>
        <w:rPr>
          <w:rFonts w:hint="eastAsia" w:ascii="Times New Roman" w:hAnsi="Times New Roman" w:eastAsia="仿宋_GB2312" w:cs="Times New Roman"/>
          <w:b w:val="0"/>
          <w:bCs w:val="0"/>
          <w:color w:val="000000" w:themeColor="text1"/>
          <w:sz w:val="32"/>
          <w:szCs w:val="32"/>
        </w:rPr>
        <w:t>其他公共安全支出（款）国家司法救助支出（项）。年初预算</w:t>
      </w:r>
      <w:r>
        <w:rPr>
          <w:rFonts w:hint="eastAsia" w:ascii="Times New Roman" w:hAnsi="Times New Roman" w:eastAsia="仿宋_GB2312" w:cs="Times New Roman"/>
          <w:b w:val="0"/>
          <w:bCs w:val="0"/>
          <w:color w:val="000000" w:themeColor="text1"/>
          <w:sz w:val="32"/>
          <w:szCs w:val="32"/>
          <w:lang w:val="en-US" w:eastAsia="zh-CN"/>
        </w:rPr>
        <w:t>5</w:t>
      </w:r>
      <w:r>
        <w:rPr>
          <w:rFonts w:hint="eastAsia" w:ascii="Times New Roman" w:hAnsi="Times New Roman" w:eastAsia="仿宋_GB2312" w:cs="Times New Roman"/>
          <w:b w:val="0"/>
          <w:bCs w:val="0"/>
          <w:color w:val="000000" w:themeColor="text1"/>
          <w:sz w:val="32"/>
          <w:szCs w:val="32"/>
        </w:rPr>
        <w:t>万元，决算支出</w:t>
      </w:r>
      <w:r>
        <w:rPr>
          <w:rFonts w:hint="eastAsia" w:ascii="Times New Roman" w:hAnsi="Times New Roman" w:eastAsia="仿宋_GB2312" w:cs="Times New Roman"/>
          <w:b w:val="0"/>
          <w:bCs w:val="0"/>
          <w:color w:val="000000" w:themeColor="text1"/>
          <w:sz w:val="32"/>
          <w:szCs w:val="32"/>
          <w:lang w:val="en-US" w:eastAsia="zh-CN"/>
        </w:rPr>
        <w:t>5</w:t>
      </w:r>
      <w:r>
        <w:rPr>
          <w:rFonts w:hint="eastAsia" w:ascii="Times New Roman" w:hAnsi="Times New Roman" w:eastAsia="仿宋_GB2312" w:cs="Times New Roman"/>
          <w:b w:val="0"/>
          <w:bCs w:val="0"/>
          <w:color w:val="000000" w:themeColor="text1"/>
          <w:sz w:val="32"/>
          <w:szCs w:val="32"/>
        </w:rPr>
        <w:t>万元，完成年初预算的100%。决算数与年初预算数的差异原因：无差异。</w:t>
      </w:r>
    </w:p>
    <w:p w14:paraId="3EA75664">
      <w:pPr>
        <w:keepNext w:val="0"/>
        <w:keepLines w:val="0"/>
        <w:pageBreakBefore w:val="0"/>
        <w:widowControl/>
        <w:kinsoku/>
        <w:wordWrap/>
        <w:overflowPunct/>
        <w:topLinePunct w:val="0"/>
        <w:autoSpaceDE/>
        <w:autoSpaceDN/>
        <w:bidi w:val="0"/>
        <w:spacing w:beforeAutospacing="0" w:afterAutospacing="0" w:line="560" w:lineRule="exact"/>
        <w:jc w:val="left"/>
        <w:textAlignment w:val="auto"/>
        <w:rPr>
          <w:rFonts w:hint="eastAsia" w:ascii="楷体_GB2312" w:hAnsi="宋体" w:eastAsia="楷体_GB2312" w:cs="楷体_GB2312"/>
          <w:kern w:val="0"/>
          <w:sz w:val="32"/>
          <w:szCs w:val="32"/>
          <w:lang w:bidi="ar"/>
        </w:rPr>
      </w:pPr>
      <w:r>
        <w:rPr>
          <w:rFonts w:ascii="kai_ti_gb2312" w:hAnsi="kai_ti_gb2312" w:eastAsia="kai_ti_gb2312" w:cs="kai_ti_gb2312"/>
          <w:b/>
          <w:bCs/>
          <w:kern w:val="0"/>
          <w:sz w:val="27"/>
          <w:szCs w:val="27"/>
        </w:rPr>
        <w:t xml:space="preserve">    </w:t>
      </w:r>
      <w:r>
        <w:rPr>
          <w:rFonts w:hint="eastAsia" w:ascii="楷体_GB2312" w:hAnsi="宋体" w:eastAsia="楷体_GB2312" w:cs="楷体_GB2312"/>
          <w:kern w:val="0"/>
          <w:sz w:val="32"/>
          <w:szCs w:val="32"/>
          <w:lang w:bidi="ar"/>
        </w:rPr>
        <w:t>（</w:t>
      </w:r>
      <w:r>
        <w:rPr>
          <w:rFonts w:hint="eastAsia" w:ascii="楷体_GB2312" w:hAnsi="宋体" w:eastAsia="楷体_GB2312" w:cs="楷体_GB2312"/>
          <w:kern w:val="0"/>
          <w:sz w:val="32"/>
          <w:szCs w:val="32"/>
          <w:lang w:val="en-US" w:eastAsia="zh-CN" w:bidi="ar"/>
        </w:rPr>
        <w:t>二</w:t>
      </w:r>
      <w:r>
        <w:rPr>
          <w:rFonts w:hint="eastAsia" w:ascii="楷体_GB2312" w:hAnsi="宋体" w:eastAsia="楷体_GB2312" w:cs="楷体_GB2312"/>
          <w:kern w:val="0"/>
          <w:sz w:val="32"/>
          <w:szCs w:val="32"/>
          <w:lang w:bidi="ar"/>
        </w:rPr>
        <w:t>）社会保障和就业支出（类）</w:t>
      </w:r>
    </w:p>
    <w:p w14:paraId="2178224F">
      <w:pPr>
        <w:keepNext w:val="0"/>
        <w:keepLines w:val="0"/>
        <w:pageBreakBefore w:val="0"/>
        <w:widowControl/>
        <w:kinsoku/>
        <w:wordWrap/>
        <w:overflowPunct/>
        <w:topLinePunct w:val="0"/>
        <w:autoSpaceDE/>
        <w:autoSpaceDN/>
        <w:bidi w:val="0"/>
        <w:spacing w:beforeAutospacing="0" w:afterAutospacing="0" w:line="560" w:lineRule="exact"/>
        <w:ind w:firstLine="640" w:firstLineChars="200"/>
        <w:jc w:val="left"/>
        <w:textAlignment w:val="auto"/>
        <w:rPr>
          <w:rFonts w:hint="eastAsia" w:ascii="Times New Roman" w:hAnsi="Times New Roman" w:eastAsia="仿宋_GB2312" w:cs="Times New Roman"/>
          <w:b w:val="0"/>
          <w:bCs w:val="0"/>
          <w:color w:val="000000" w:themeColor="text1"/>
          <w:sz w:val="32"/>
          <w:szCs w:val="32"/>
          <w:lang w:val="en-US" w:eastAsia="zh-CN"/>
        </w:rPr>
      </w:pPr>
      <w:r>
        <w:rPr>
          <w:rFonts w:hint="eastAsia" w:ascii="Times New Roman" w:hAnsi="Times New Roman" w:eastAsia="仿宋_GB2312" w:cs="Times New Roman"/>
          <w:b w:val="0"/>
          <w:bCs w:val="0"/>
          <w:color w:val="000000" w:themeColor="text1"/>
          <w:sz w:val="32"/>
          <w:szCs w:val="32"/>
          <w:lang w:val="en-US" w:eastAsia="zh-CN"/>
        </w:rPr>
        <w:t>社会保障和就业支出类决算数为 62.53万元，与年初预算相比减少6.05万元。其中：</w:t>
      </w:r>
    </w:p>
    <w:p w14:paraId="1B04619D">
      <w:pPr>
        <w:keepNext w:val="0"/>
        <w:keepLines w:val="0"/>
        <w:pageBreakBefore w:val="0"/>
        <w:widowControl/>
        <w:kinsoku/>
        <w:wordWrap/>
        <w:overflowPunct/>
        <w:topLinePunct w:val="0"/>
        <w:autoSpaceDE/>
        <w:autoSpaceDN/>
        <w:bidi w:val="0"/>
        <w:spacing w:beforeAutospacing="0" w:afterAutospacing="0" w:line="560" w:lineRule="exact"/>
        <w:ind w:firstLine="640" w:firstLineChars="200"/>
        <w:jc w:val="left"/>
        <w:textAlignment w:val="auto"/>
        <w:rPr>
          <w:rFonts w:hint="eastAsia" w:ascii="Times New Roman" w:hAnsi="Times New Roman" w:eastAsia="仿宋_GB2312" w:cs="Times New Roman"/>
          <w:b w:val="0"/>
          <w:bCs w:val="0"/>
          <w:color w:val="000000" w:themeColor="text1"/>
          <w:sz w:val="32"/>
          <w:szCs w:val="32"/>
          <w:lang w:val="en-US" w:eastAsia="zh-CN"/>
        </w:rPr>
      </w:pPr>
      <w:r>
        <w:rPr>
          <w:rFonts w:hint="eastAsia" w:ascii="Times New Roman" w:hAnsi="Times New Roman" w:eastAsia="仿宋_GB2312" w:cs="Times New Roman"/>
          <w:b w:val="0"/>
          <w:bCs w:val="0"/>
          <w:color w:val="000000" w:themeColor="text1"/>
          <w:sz w:val="32"/>
          <w:szCs w:val="32"/>
          <w:lang w:val="en-US" w:eastAsia="zh-CN"/>
        </w:rPr>
        <w:t>1.行政事业单位养老支出（款）机关事业单位基本养老保险缴费支出（项）。年初预算45.72万元，支出决算41.64万元，完成年初预算的91.08%。决算数与年初预算数的差异原因：年中退休以及调出等原因，在职人员减少4人，养老保险缴纳相应减少。</w:t>
      </w:r>
    </w:p>
    <w:p w14:paraId="6A2E5AFF">
      <w:pPr>
        <w:keepNext w:val="0"/>
        <w:keepLines w:val="0"/>
        <w:pageBreakBefore w:val="0"/>
        <w:widowControl/>
        <w:kinsoku/>
        <w:wordWrap/>
        <w:overflowPunct/>
        <w:topLinePunct w:val="0"/>
        <w:autoSpaceDE/>
        <w:autoSpaceDN/>
        <w:bidi w:val="0"/>
        <w:spacing w:beforeAutospacing="0" w:afterAutospacing="0" w:line="560" w:lineRule="exact"/>
        <w:ind w:firstLine="640" w:firstLineChars="200"/>
        <w:jc w:val="left"/>
        <w:textAlignment w:val="auto"/>
        <w:rPr>
          <w:rFonts w:hint="eastAsia" w:ascii="Times New Roman" w:hAnsi="Times New Roman" w:eastAsia="仿宋_GB2312" w:cs="Times New Roman"/>
          <w:b w:val="0"/>
          <w:bCs w:val="0"/>
          <w:color w:val="000000" w:themeColor="text1"/>
          <w:sz w:val="32"/>
          <w:szCs w:val="32"/>
          <w:lang w:val="en-US" w:eastAsia="zh-CN"/>
        </w:rPr>
      </w:pPr>
      <w:r>
        <w:rPr>
          <w:rFonts w:hint="eastAsia" w:ascii="Times New Roman" w:hAnsi="Times New Roman" w:eastAsia="仿宋_GB2312" w:cs="Times New Roman"/>
          <w:b w:val="0"/>
          <w:bCs w:val="0"/>
          <w:color w:val="000000" w:themeColor="text1"/>
          <w:sz w:val="32"/>
          <w:szCs w:val="32"/>
          <w:lang w:val="en-US" w:eastAsia="zh-CN"/>
        </w:rPr>
        <w:t>2</w:t>
      </w:r>
      <w:r>
        <w:rPr>
          <w:rFonts w:hint="eastAsia" w:ascii="仿宋_GB2312" w:hAnsi="仿宋_GB2312" w:eastAsia="仿宋_GB2312" w:cs="仿宋_GB2312"/>
          <w:b w:val="0"/>
          <w:bCs w:val="0"/>
          <w:color w:val="000000" w:themeColor="text1"/>
          <w:sz w:val="32"/>
          <w:szCs w:val="32"/>
          <w:lang w:val="en-US" w:eastAsia="zh-CN"/>
        </w:rPr>
        <w:t>.</w:t>
      </w:r>
      <w:r>
        <w:rPr>
          <w:rFonts w:hint="eastAsia" w:ascii="Times New Roman" w:hAnsi="Times New Roman" w:eastAsia="仿宋_GB2312" w:cs="Times New Roman"/>
          <w:b w:val="0"/>
          <w:bCs w:val="0"/>
          <w:color w:val="000000" w:themeColor="text1"/>
          <w:sz w:val="32"/>
          <w:szCs w:val="32"/>
          <w:lang w:val="en-US" w:eastAsia="zh-CN"/>
        </w:rPr>
        <w:t>行政事业单位养老支出（款）机关事业单位职业年金缴费支出（项）。年初预算22.86万元，支出决算20.89万元，完成年初预算的91.38%。决算数与年初预算数的差异原因：年中退休以及调出等原因，在职人员减少4人，职业年金缴纳相应减少。</w:t>
      </w:r>
    </w:p>
    <w:p w14:paraId="25CE116D">
      <w:pPr>
        <w:keepNext w:val="0"/>
        <w:keepLines w:val="0"/>
        <w:pageBreakBefore w:val="0"/>
        <w:widowControl/>
        <w:kinsoku/>
        <w:wordWrap/>
        <w:overflowPunct/>
        <w:topLinePunct w:val="0"/>
        <w:autoSpaceDE/>
        <w:autoSpaceDN/>
        <w:bidi w:val="0"/>
        <w:spacing w:beforeAutospacing="0" w:afterAutospacing="0" w:line="560" w:lineRule="exact"/>
        <w:jc w:val="left"/>
        <w:textAlignment w:val="auto"/>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xml:space="preserve">    </w:t>
      </w:r>
      <w:r>
        <w:rPr>
          <w:rFonts w:hint="eastAsia" w:ascii="楷体_GB2312" w:hAnsi="宋体" w:eastAsia="楷体_GB2312" w:cs="楷体_GB2312"/>
          <w:kern w:val="0"/>
          <w:sz w:val="32"/>
          <w:szCs w:val="32"/>
          <w:lang w:bidi="ar"/>
        </w:rPr>
        <w:t>（</w:t>
      </w:r>
      <w:r>
        <w:rPr>
          <w:rFonts w:hint="eastAsia" w:ascii="楷体_GB2312" w:hAnsi="宋体" w:eastAsia="楷体_GB2312" w:cs="楷体_GB2312"/>
          <w:kern w:val="0"/>
          <w:sz w:val="32"/>
          <w:szCs w:val="32"/>
          <w:lang w:val="en-US" w:eastAsia="zh-CN" w:bidi="ar"/>
        </w:rPr>
        <w:t>三</w:t>
      </w:r>
      <w:r>
        <w:rPr>
          <w:rFonts w:hint="eastAsia" w:ascii="楷体_GB2312" w:hAnsi="宋体" w:eastAsia="楷体_GB2312" w:cs="楷体_GB2312"/>
          <w:kern w:val="0"/>
          <w:sz w:val="32"/>
          <w:szCs w:val="32"/>
          <w:lang w:bidi="ar"/>
        </w:rPr>
        <w:t>）卫生健康支出（类）</w:t>
      </w:r>
    </w:p>
    <w:p w14:paraId="1B0BF3C4">
      <w:pPr>
        <w:keepNext w:val="0"/>
        <w:keepLines w:val="0"/>
        <w:pageBreakBefore w:val="0"/>
        <w:widowControl/>
        <w:kinsoku/>
        <w:wordWrap/>
        <w:overflowPunct/>
        <w:topLinePunct w:val="0"/>
        <w:autoSpaceDE/>
        <w:autoSpaceDN/>
        <w:bidi w:val="0"/>
        <w:spacing w:beforeAutospacing="0" w:afterAutospacing="0" w:line="560" w:lineRule="exact"/>
        <w:ind w:firstLine="640" w:firstLineChars="200"/>
        <w:jc w:val="left"/>
        <w:textAlignment w:val="auto"/>
        <w:rPr>
          <w:rFonts w:hint="eastAsia" w:ascii="Times New Roman" w:hAnsi="Times New Roman" w:eastAsia="仿宋_GB2312" w:cs="Times New Roman"/>
          <w:b w:val="0"/>
          <w:bCs w:val="0"/>
          <w:color w:val="000000" w:themeColor="text1"/>
          <w:sz w:val="32"/>
          <w:szCs w:val="32"/>
          <w:lang w:val="en-US" w:eastAsia="zh-CN"/>
        </w:rPr>
      </w:pPr>
      <w:r>
        <w:rPr>
          <w:rFonts w:hint="eastAsia" w:ascii="Times New Roman" w:hAnsi="Times New Roman" w:eastAsia="仿宋_GB2312" w:cs="Times New Roman"/>
          <w:b w:val="0"/>
          <w:bCs w:val="0"/>
          <w:color w:val="000000" w:themeColor="text1"/>
          <w:sz w:val="32"/>
          <w:szCs w:val="32"/>
          <w:lang w:val="en-US" w:eastAsia="zh-CN"/>
        </w:rPr>
        <w:t>卫生健康支出类决算数为 16.25万元，与年初预算相比减少5.61万元。其中：</w:t>
      </w:r>
    </w:p>
    <w:p w14:paraId="164F5220">
      <w:pPr>
        <w:keepNext w:val="0"/>
        <w:keepLines w:val="0"/>
        <w:pageBreakBefore w:val="0"/>
        <w:widowControl/>
        <w:kinsoku/>
        <w:wordWrap/>
        <w:overflowPunct/>
        <w:topLinePunct w:val="0"/>
        <w:autoSpaceDE/>
        <w:autoSpaceDN/>
        <w:bidi w:val="0"/>
        <w:spacing w:beforeAutospacing="0" w:afterAutospacing="0" w:line="560" w:lineRule="exact"/>
        <w:ind w:firstLine="640" w:firstLineChars="200"/>
        <w:jc w:val="left"/>
        <w:textAlignment w:val="auto"/>
        <w:rPr>
          <w:rFonts w:hint="default" w:ascii="Times New Roman" w:hAnsi="Times New Roman" w:eastAsia="仿宋_GB2312" w:cs="Times New Roman"/>
          <w:b w:val="0"/>
          <w:bCs w:val="0"/>
          <w:color w:val="000000" w:themeColor="text1"/>
          <w:sz w:val="32"/>
          <w:szCs w:val="32"/>
          <w:lang w:val="en-US" w:eastAsia="zh-CN"/>
        </w:rPr>
      </w:pPr>
      <w:r>
        <w:rPr>
          <w:rFonts w:hint="eastAsia" w:ascii="Times New Roman" w:hAnsi="Times New Roman" w:eastAsia="仿宋_GB2312" w:cs="Times New Roman"/>
          <w:b w:val="0"/>
          <w:bCs w:val="0"/>
          <w:color w:val="000000" w:themeColor="text1"/>
          <w:sz w:val="32"/>
          <w:szCs w:val="32"/>
          <w:lang w:val="en-US" w:eastAsia="zh-CN"/>
        </w:rPr>
        <w:t> </w:t>
      </w:r>
      <w:r>
        <w:rPr>
          <w:rFonts w:hint="default" w:ascii="Times New Roman" w:hAnsi="Times New Roman" w:eastAsia="仿宋_GB2312" w:cs="Times New Roman"/>
          <w:b w:val="0"/>
          <w:bCs w:val="0"/>
          <w:color w:val="000000" w:themeColor="text1"/>
          <w:sz w:val="32"/>
          <w:szCs w:val="32"/>
          <w:lang w:val="en-US" w:eastAsia="zh-CN"/>
        </w:rPr>
        <w:t>1</w:t>
      </w:r>
      <w:r>
        <w:rPr>
          <w:rFonts w:hint="eastAsia" w:ascii="Times New Roman" w:hAnsi="Times New Roman" w:eastAsia="仿宋_GB2312" w:cs="Times New Roman"/>
          <w:b w:val="0"/>
          <w:bCs w:val="0"/>
          <w:color w:val="000000" w:themeColor="text1"/>
          <w:sz w:val="32"/>
          <w:szCs w:val="32"/>
          <w:lang w:val="en-US" w:eastAsia="zh-CN"/>
        </w:rPr>
        <w:t>.行政事业单位医疗（款）行政单位医疗（项）。年初预算21.86万元，支出决算16.25万元，完成年初预算的74.34%。决算数与年初预算数的差异原因：一是年初预算测算的金额考虑到了人员工资上涨。二是年中退休以及调出等原因，在职人员减少4人，医疗保险缴纳相应减少。</w:t>
      </w:r>
    </w:p>
    <w:p w14:paraId="24DDBB6F">
      <w:pPr>
        <w:keepNext w:val="0"/>
        <w:keepLines w:val="0"/>
        <w:pageBreakBefore w:val="0"/>
        <w:widowControl/>
        <w:kinsoku/>
        <w:wordWrap/>
        <w:overflowPunct/>
        <w:topLinePunct w:val="0"/>
        <w:autoSpaceDE/>
        <w:autoSpaceDN/>
        <w:bidi w:val="0"/>
        <w:spacing w:beforeAutospacing="0" w:afterAutospacing="0" w:line="560" w:lineRule="exact"/>
        <w:jc w:val="left"/>
        <w:textAlignment w:val="auto"/>
        <w:rPr>
          <w:rFonts w:hint="eastAsia" w:ascii="楷体_GB2312" w:hAnsi="宋体" w:eastAsia="楷体_GB2312" w:cs="楷体_GB2312"/>
          <w:kern w:val="0"/>
          <w:sz w:val="32"/>
          <w:szCs w:val="32"/>
          <w:lang w:bidi="ar"/>
        </w:rPr>
      </w:pPr>
      <w:r>
        <w:rPr>
          <w:rFonts w:ascii="kai_ti_gb2312" w:hAnsi="kai_ti_gb2312" w:eastAsia="kai_ti_gb2312" w:cs="kai_ti_gb2312"/>
          <w:b/>
          <w:bCs/>
          <w:kern w:val="0"/>
          <w:sz w:val="27"/>
          <w:szCs w:val="27"/>
        </w:rPr>
        <w:t xml:space="preserve">    </w:t>
      </w:r>
      <w:r>
        <w:rPr>
          <w:rFonts w:hint="eastAsia" w:ascii="楷体_GB2312" w:hAnsi="宋体" w:eastAsia="楷体_GB2312" w:cs="楷体_GB2312"/>
          <w:kern w:val="0"/>
          <w:sz w:val="32"/>
          <w:szCs w:val="32"/>
          <w:lang w:bidi="ar"/>
        </w:rPr>
        <w:t>（</w:t>
      </w:r>
      <w:r>
        <w:rPr>
          <w:rFonts w:hint="eastAsia" w:ascii="楷体_GB2312" w:hAnsi="宋体" w:eastAsia="楷体_GB2312" w:cs="楷体_GB2312"/>
          <w:kern w:val="0"/>
          <w:sz w:val="32"/>
          <w:szCs w:val="32"/>
          <w:lang w:val="en-US" w:eastAsia="zh-CN" w:bidi="ar"/>
        </w:rPr>
        <w:t>四</w:t>
      </w:r>
      <w:r>
        <w:rPr>
          <w:rFonts w:hint="eastAsia" w:ascii="楷体_GB2312" w:hAnsi="宋体" w:eastAsia="楷体_GB2312" w:cs="楷体_GB2312"/>
          <w:kern w:val="0"/>
          <w:sz w:val="32"/>
          <w:szCs w:val="32"/>
          <w:lang w:bidi="ar"/>
        </w:rPr>
        <w:t>）住房保障支出（类）</w:t>
      </w:r>
    </w:p>
    <w:p w14:paraId="5F668CF1">
      <w:pPr>
        <w:keepNext w:val="0"/>
        <w:keepLines w:val="0"/>
        <w:pageBreakBefore w:val="0"/>
        <w:widowControl/>
        <w:kinsoku/>
        <w:wordWrap/>
        <w:overflowPunct/>
        <w:topLinePunct w:val="0"/>
        <w:autoSpaceDE/>
        <w:autoSpaceDN/>
        <w:bidi w:val="0"/>
        <w:spacing w:beforeAutospacing="0" w:afterAutospacing="0" w:line="560" w:lineRule="exact"/>
        <w:ind w:firstLine="640" w:firstLineChars="200"/>
        <w:textAlignment w:val="auto"/>
        <w:rPr>
          <w:rFonts w:hint="eastAsia" w:ascii="Times New Roman" w:hAnsi="Times New Roman" w:eastAsia="仿宋_GB2312" w:cs="Times New Roman"/>
          <w:b w:val="0"/>
          <w:bCs w:val="0"/>
          <w:color w:val="000000" w:themeColor="text1"/>
          <w:sz w:val="32"/>
          <w:szCs w:val="32"/>
          <w:lang w:val="en-US" w:eastAsia="zh-CN"/>
        </w:rPr>
      </w:pPr>
      <w:r>
        <w:rPr>
          <w:rFonts w:hint="eastAsia" w:ascii="Times New Roman" w:hAnsi="Times New Roman" w:eastAsia="仿宋_GB2312" w:cs="Times New Roman"/>
          <w:b w:val="0"/>
          <w:bCs w:val="0"/>
          <w:color w:val="000000" w:themeColor="text1"/>
          <w:sz w:val="32"/>
          <w:szCs w:val="32"/>
          <w:lang w:val="en-US" w:eastAsia="zh-CN"/>
        </w:rPr>
        <w:t>住房保障支出类决算数为 44.28万元，与年初预算相比增加1.27万元。其中：</w:t>
      </w:r>
    </w:p>
    <w:p w14:paraId="5C619BCE">
      <w:pPr>
        <w:keepNext w:val="0"/>
        <w:keepLines w:val="0"/>
        <w:pageBreakBefore w:val="0"/>
        <w:widowControl/>
        <w:kinsoku/>
        <w:wordWrap/>
        <w:overflowPunct/>
        <w:topLinePunct w:val="0"/>
        <w:autoSpaceDE/>
        <w:autoSpaceDN/>
        <w:bidi w:val="0"/>
        <w:spacing w:beforeAutospacing="0" w:afterAutospacing="0" w:line="560" w:lineRule="exact"/>
        <w:ind w:firstLine="640" w:firstLineChars="200"/>
        <w:textAlignment w:val="auto"/>
        <w:rPr>
          <w:rFonts w:hint="eastAsia" w:ascii="Times New Roman" w:hAnsi="Times New Roman" w:eastAsia="仿宋_GB2312" w:cs="Times New Roman"/>
          <w:b w:val="0"/>
          <w:bCs w:val="0"/>
          <w:color w:val="000000" w:themeColor="text1"/>
          <w:sz w:val="32"/>
          <w:szCs w:val="32"/>
          <w:lang w:val="en-US" w:eastAsia="zh-CN"/>
        </w:rPr>
      </w:pPr>
      <w:r>
        <w:rPr>
          <w:rFonts w:hint="default" w:ascii="Times New Roman" w:hAnsi="Times New Roman" w:eastAsia="仿宋_GB2312" w:cs="Times New Roman"/>
          <w:b w:val="0"/>
          <w:bCs w:val="0"/>
          <w:color w:val="000000" w:themeColor="text1"/>
          <w:sz w:val="32"/>
          <w:szCs w:val="32"/>
          <w:lang w:val="en-US" w:eastAsia="zh-CN"/>
        </w:rPr>
        <w:t>1</w:t>
      </w:r>
      <w:r>
        <w:rPr>
          <w:rFonts w:hint="eastAsia" w:ascii="Times New Roman" w:hAnsi="Times New Roman" w:eastAsia="仿宋_GB2312" w:cs="Times New Roman"/>
          <w:b w:val="0"/>
          <w:bCs w:val="0"/>
          <w:color w:val="000000" w:themeColor="text1"/>
          <w:sz w:val="32"/>
          <w:szCs w:val="32"/>
          <w:lang w:val="en-US" w:eastAsia="zh-CN"/>
        </w:rPr>
        <w:t>.住房改革支出（款）住房公积金（项）。年初预算43.01万元，支出决算44.28万元，完成年初预算的102.95%。决算数与年初预算数的差异原因：我旗统一提高住房公积金缴纳比例至12%，我院根据属地原则相应提高住房公积金缴纳比例，住房保障支出增加。</w:t>
      </w:r>
    </w:p>
    <w:p w14:paraId="5FE3F513">
      <w:pPr>
        <w:keepNext w:val="0"/>
        <w:keepLines w:val="0"/>
        <w:pageBreakBefore w:val="0"/>
        <w:widowControl/>
        <w:kinsoku/>
        <w:wordWrap/>
        <w:overflowPunct/>
        <w:topLinePunct w:val="0"/>
        <w:autoSpaceDE/>
        <w:autoSpaceDN/>
        <w:bidi w:val="0"/>
        <w:spacing w:beforeAutospacing="0" w:afterAutospacing="0" w:line="560" w:lineRule="exact"/>
        <w:ind w:firstLine="640" w:firstLineChars="200"/>
        <w:jc w:val="left"/>
        <w:textAlignment w:val="auto"/>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六、一般公共预算财政拨款基本支出决算情况说明</w:t>
      </w:r>
    </w:p>
    <w:p w14:paraId="0BFF09DF">
      <w:pPr>
        <w:keepNext w:val="0"/>
        <w:keepLines w:val="0"/>
        <w:pageBreakBefore w:val="0"/>
        <w:widowControl/>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rPr>
      </w:pPr>
      <w:r>
        <w:rPr>
          <w:rFonts w:hint="default" w:ascii="Times New Roman" w:hAnsi="Times New Roman" w:eastAsia="仿宋_GB2312" w:cs="Times New Roman"/>
          <w:b w:val="0"/>
          <w:bCs w:val="0"/>
          <w:color w:val="000000" w:themeColor="text1"/>
          <w:sz w:val="32"/>
          <w:szCs w:val="32"/>
          <w:lang w:val="en-US" w:eastAsia="zh-CN"/>
        </w:rPr>
        <w:t>杭锦旗人民检察院 2023年度一般公共预算财政拨款基本支出决算 769.81万元，其中：</w:t>
      </w:r>
    </w:p>
    <w:p w14:paraId="29311AC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default" w:ascii="Times New Roman" w:hAnsi="Times New Roman" w:eastAsia="Times New Roman" w:cs="Times New Roman"/>
          <w:kern w:val="0"/>
          <w:sz w:val="24"/>
        </w:rPr>
      </w:pPr>
      <w:r>
        <w:rPr>
          <w:rFonts w:hint="default" w:ascii="Times New Roman" w:hAnsi="Times New Roman" w:eastAsia="楷体_GB2312" w:cs="Times New Roman"/>
          <w:kern w:val="0"/>
          <w:sz w:val="32"/>
          <w:szCs w:val="32"/>
          <w:lang w:bidi="ar"/>
        </w:rPr>
        <w:t>（一）人员经费 703.06万元。</w:t>
      </w:r>
      <w:r>
        <w:rPr>
          <w:rFonts w:hint="default" w:ascii="Times New Roman" w:hAnsi="Times New Roman" w:eastAsia="仿宋_GB2312" w:cs="Times New Roman"/>
          <w:b w:val="0"/>
          <w:bCs w:val="0"/>
          <w:color w:val="000000" w:themeColor="text1"/>
          <w:sz w:val="32"/>
          <w:szCs w:val="32"/>
          <w:lang w:val="en-US" w:eastAsia="zh-CN"/>
        </w:rPr>
        <w:t>主要包括：基本工资129.77万元、津贴补贴302.27万元、奖金32.71万元、机关事业单位基本养老保险缴费41.64万元、职业年金缴费20.89万元、职工基本医疗保险缴费16.25万元、其他社会保障经费1.60万元、住房公积金44.28万元、其他工资福利支出113.65万元。</w:t>
      </w:r>
    </w:p>
    <w:p w14:paraId="7D3ACD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Times New Roman"/>
          <w:b w:val="0"/>
          <w:bCs w:val="0"/>
          <w:color w:val="000000" w:themeColor="text1"/>
          <w:sz w:val="32"/>
          <w:szCs w:val="32"/>
          <w:lang w:val="en-US" w:eastAsia="zh-CN"/>
        </w:rPr>
      </w:pPr>
      <w:r>
        <w:rPr>
          <w:rFonts w:hint="eastAsia" w:ascii="楷体_GB2312" w:hAnsi="宋体" w:eastAsia="楷体_GB2312" w:cs="楷体_GB2312"/>
          <w:kern w:val="0"/>
          <w:sz w:val="32"/>
          <w:szCs w:val="32"/>
          <w:lang w:bidi="ar"/>
        </w:rPr>
        <w:t>（二）公用经</w:t>
      </w:r>
      <w:r>
        <w:rPr>
          <w:rFonts w:hint="default" w:ascii="Times New Roman" w:hAnsi="Times New Roman" w:eastAsia="楷体_GB2312" w:cs="Times New Roman"/>
          <w:kern w:val="0"/>
          <w:sz w:val="32"/>
          <w:szCs w:val="32"/>
          <w:lang w:bidi="ar"/>
        </w:rPr>
        <w:t>费 66.75万元</w:t>
      </w:r>
      <w:r>
        <w:rPr>
          <w:rFonts w:hint="eastAsia" w:ascii="楷体_GB2312" w:hAnsi="宋体" w:eastAsia="楷体_GB2312" w:cs="楷体_GB2312"/>
          <w:kern w:val="0"/>
          <w:sz w:val="32"/>
          <w:szCs w:val="32"/>
          <w:lang w:bidi="ar"/>
        </w:rPr>
        <w:t>。</w:t>
      </w:r>
      <w:r>
        <w:rPr>
          <w:rFonts w:hint="default" w:ascii="Times New Roman" w:hAnsi="Times New Roman" w:eastAsia="仿宋_GB2312" w:cs="Times New Roman"/>
          <w:b w:val="0"/>
          <w:bCs w:val="0"/>
          <w:color w:val="000000" w:themeColor="text1"/>
          <w:sz w:val="32"/>
          <w:szCs w:val="32"/>
          <w:lang w:val="en-US" w:eastAsia="zh-CN"/>
        </w:rPr>
        <w:t>主要包括：</w:t>
      </w:r>
      <w:r>
        <w:rPr>
          <w:rFonts w:hint="eastAsia" w:ascii="Times New Roman" w:hAnsi="Times New Roman" w:eastAsia="仿宋_GB2312" w:cs="Times New Roman"/>
          <w:b w:val="0"/>
          <w:bCs w:val="0"/>
          <w:color w:val="000000" w:themeColor="text1"/>
          <w:sz w:val="32"/>
          <w:szCs w:val="32"/>
          <w:lang w:val="en-US" w:eastAsia="zh-CN"/>
        </w:rPr>
        <w:t>办公费8万元、手续费0.</w:t>
      </w:r>
      <w:r>
        <w:rPr>
          <w:rFonts w:hint="eastAsia" w:eastAsia="仿宋_GB2312" w:cs="Times New Roman"/>
          <w:b w:val="0"/>
          <w:bCs w:val="0"/>
          <w:color w:val="000000" w:themeColor="text1"/>
          <w:sz w:val="32"/>
          <w:szCs w:val="32"/>
          <w:lang w:val="en-US" w:eastAsia="zh-CN"/>
        </w:rPr>
        <w:t>0</w:t>
      </w:r>
      <w:r>
        <w:rPr>
          <w:rFonts w:hint="eastAsia" w:ascii="Times New Roman" w:hAnsi="Times New Roman" w:eastAsia="仿宋_GB2312" w:cs="Times New Roman"/>
          <w:b w:val="0"/>
          <w:bCs w:val="0"/>
          <w:color w:val="000000" w:themeColor="text1"/>
          <w:sz w:val="32"/>
          <w:szCs w:val="32"/>
          <w:lang w:val="en-US" w:eastAsia="zh-CN"/>
        </w:rPr>
        <w:t>2万元、水费1.50万元、电费</w:t>
      </w:r>
      <w:r>
        <w:rPr>
          <w:rFonts w:hint="eastAsia" w:eastAsia="仿宋_GB2312" w:cs="Times New Roman"/>
          <w:b w:val="0"/>
          <w:bCs w:val="0"/>
          <w:color w:val="000000" w:themeColor="text1"/>
          <w:sz w:val="32"/>
          <w:szCs w:val="32"/>
          <w:lang w:val="en-US" w:eastAsia="zh-CN"/>
        </w:rPr>
        <w:t>12</w:t>
      </w:r>
      <w:r>
        <w:rPr>
          <w:rFonts w:hint="eastAsia" w:ascii="Times New Roman" w:hAnsi="Times New Roman" w:eastAsia="仿宋_GB2312" w:cs="Times New Roman"/>
          <w:b w:val="0"/>
          <w:bCs w:val="0"/>
          <w:color w:val="000000" w:themeColor="text1"/>
          <w:sz w:val="32"/>
          <w:szCs w:val="32"/>
          <w:lang w:val="en-US" w:eastAsia="zh-CN"/>
        </w:rPr>
        <w:t>万元、</w:t>
      </w:r>
      <w:r>
        <w:rPr>
          <w:rFonts w:hint="eastAsia" w:eastAsia="仿宋_GB2312" w:cs="Times New Roman"/>
          <w:b w:val="0"/>
          <w:bCs w:val="0"/>
          <w:color w:val="000000" w:themeColor="text1"/>
          <w:sz w:val="32"/>
          <w:szCs w:val="32"/>
          <w:lang w:val="en-US" w:eastAsia="zh-CN"/>
        </w:rPr>
        <w:t>差旅费5.27</w:t>
      </w:r>
      <w:r>
        <w:rPr>
          <w:rFonts w:hint="eastAsia" w:ascii="Times New Roman" w:hAnsi="Times New Roman" w:eastAsia="仿宋_GB2312" w:cs="Times New Roman"/>
          <w:b w:val="0"/>
          <w:bCs w:val="0"/>
          <w:color w:val="000000" w:themeColor="text1"/>
          <w:sz w:val="32"/>
          <w:szCs w:val="32"/>
          <w:lang w:val="en-US" w:eastAsia="zh-CN"/>
        </w:rPr>
        <w:t>万元、公务接待费1.70万元、工会经费</w:t>
      </w:r>
      <w:r>
        <w:rPr>
          <w:rFonts w:hint="eastAsia" w:eastAsia="仿宋_GB2312" w:cs="Times New Roman"/>
          <w:b w:val="0"/>
          <w:bCs w:val="0"/>
          <w:color w:val="000000" w:themeColor="text1"/>
          <w:sz w:val="32"/>
          <w:szCs w:val="32"/>
          <w:lang w:val="en-US" w:eastAsia="zh-CN"/>
        </w:rPr>
        <w:t>7.01</w:t>
      </w:r>
      <w:r>
        <w:rPr>
          <w:rFonts w:hint="eastAsia" w:ascii="Times New Roman" w:hAnsi="Times New Roman" w:eastAsia="仿宋_GB2312" w:cs="Times New Roman"/>
          <w:b w:val="0"/>
          <w:bCs w:val="0"/>
          <w:color w:val="000000" w:themeColor="text1"/>
          <w:sz w:val="32"/>
          <w:szCs w:val="32"/>
          <w:lang w:val="en-US" w:eastAsia="zh-CN"/>
        </w:rPr>
        <w:t>万元、福利费</w:t>
      </w:r>
      <w:r>
        <w:rPr>
          <w:rFonts w:hint="eastAsia" w:eastAsia="仿宋_GB2312" w:cs="Times New Roman"/>
          <w:b w:val="0"/>
          <w:bCs w:val="0"/>
          <w:color w:val="000000" w:themeColor="text1"/>
          <w:sz w:val="32"/>
          <w:szCs w:val="32"/>
          <w:lang w:val="en-US" w:eastAsia="zh-CN"/>
        </w:rPr>
        <w:t>8.76</w:t>
      </w:r>
      <w:r>
        <w:rPr>
          <w:rFonts w:hint="eastAsia" w:ascii="Times New Roman" w:hAnsi="Times New Roman" w:eastAsia="仿宋_GB2312" w:cs="Times New Roman"/>
          <w:b w:val="0"/>
          <w:bCs w:val="0"/>
          <w:color w:val="000000" w:themeColor="text1"/>
          <w:sz w:val="32"/>
          <w:szCs w:val="32"/>
          <w:lang w:val="en-US" w:eastAsia="zh-CN"/>
        </w:rPr>
        <w:t>万元、其他交通费用</w:t>
      </w:r>
      <w:r>
        <w:rPr>
          <w:rFonts w:hint="eastAsia" w:eastAsia="仿宋_GB2312" w:cs="Times New Roman"/>
          <w:b w:val="0"/>
          <w:bCs w:val="0"/>
          <w:color w:val="000000" w:themeColor="text1"/>
          <w:sz w:val="32"/>
          <w:szCs w:val="32"/>
          <w:lang w:val="en-US" w:eastAsia="zh-CN"/>
        </w:rPr>
        <w:t>20.98</w:t>
      </w:r>
      <w:r>
        <w:rPr>
          <w:rFonts w:hint="eastAsia" w:ascii="Times New Roman" w:hAnsi="Times New Roman" w:eastAsia="仿宋_GB2312" w:cs="Times New Roman"/>
          <w:b w:val="0"/>
          <w:bCs w:val="0"/>
          <w:color w:val="000000" w:themeColor="text1"/>
          <w:sz w:val="32"/>
          <w:szCs w:val="32"/>
          <w:lang w:val="en-US" w:eastAsia="zh-CN"/>
        </w:rPr>
        <w:t>万元、其他商品和服务支出</w:t>
      </w:r>
      <w:r>
        <w:rPr>
          <w:rFonts w:hint="eastAsia" w:eastAsia="仿宋_GB2312" w:cs="Times New Roman"/>
          <w:b w:val="0"/>
          <w:bCs w:val="0"/>
          <w:color w:val="000000" w:themeColor="text1"/>
          <w:sz w:val="32"/>
          <w:szCs w:val="32"/>
          <w:lang w:val="en-US" w:eastAsia="zh-CN"/>
        </w:rPr>
        <w:t>1.50</w:t>
      </w:r>
      <w:r>
        <w:rPr>
          <w:rFonts w:hint="eastAsia" w:ascii="Times New Roman" w:hAnsi="Times New Roman" w:eastAsia="仿宋_GB2312" w:cs="Times New Roman"/>
          <w:b w:val="0"/>
          <w:bCs w:val="0"/>
          <w:color w:val="000000" w:themeColor="text1"/>
          <w:sz w:val="32"/>
          <w:szCs w:val="32"/>
          <w:lang w:val="en-US" w:eastAsia="zh-CN"/>
        </w:rPr>
        <w:t>万元。</w:t>
      </w:r>
    </w:p>
    <w:p w14:paraId="7E1AD57D">
      <w:pPr>
        <w:keepNext w:val="0"/>
        <w:keepLines w:val="0"/>
        <w:pageBreakBefore w:val="0"/>
        <w:widowControl/>
        <w:kinsoku/>
        <w:wordWrap/>
        <w:overflowPunct/>
        <w:topLinePunct w:val="0"/>
        <w:autoSpaceDE/>
        <w:autoSpaceDN/>
        <w:bidi w:val="0"/>
        <w:spacing w:beforeAutospacing="0" w:afterAutospacing="0" w:line="560" w:lineRule="exact"/>
        <w:ind w:firstLine="640" w:firstLineChars="200"/>
        <w:jc w:val="left"/>
        <w:textAlignment w:val="auto"/>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七、一般公共预算财政拨款项目支出决算情况说明</w:t>
      </w:r>
    </w:p>
    <w:p w14:paraId="17901CF0">
      <w:pPr>
        <w:keepNext w:val="0"/>
        <w:keepLines w:val="0"/>
        <w:pageBreakBefore w:val="0"/>
        <w:widowControl/>
        <w:kinsoku/>
        <w:wordWrap/>
        <w:overflowPunct/>
        <w:topLinePunct w:val="0"/>
        <w:autoSpaceDE/>
        <w:autoSpaceDN/>
        <w:bidi w:val="0"/>
        <w:spacing w:beforeAutospacing="0" w:afterAutospacing="0" w:line="560" w:lineRule="exact"/>
        <w:ind w:firstLine="640" w:firstLineChars="200"/>
        <w:textAlignment w:val="auto"/>
        <w:rPr>
          <w:rFonts w:hint="default" w:ascii="Times New Roman" w:hAnsi="Times New Roman" w:eastAsia="仿宋_GB2312" w:cs="Times New Roman"/>
          <w:b w:val="0"/>
          <w:bCs w:val="0"/>
          <w:color w:val="000000" w:themeColor="text1"/>
          <w:sz w:val="32"/>
          <w:szCs w:val="32"/>
          <w:lang w:val="en-US" w:eastAsia="zh-CN"/>
        </w:rPr>
      </w:pPr>
      <w:r>
        <w:rPr>
          <w:rFonts w:hint="default" w:ascii="Times New Roman" w:hAnsi="Times New Roman" w:eastAsia="仿宋_GB2312" w:cs="Times New Roman"/>
          <w:b w:val="0"/>
          <w:bCs w:val="0"/>
          <w:color w:val="000000" w:themeColor="text1"/>
          <w:sz w:val="32"/>
          <w:szCs w:val="32"/>
          <w:lang w:val="en-US" w:eastAsia="zh-CN"/>
        </w:rPr>
        <w:t>杭锦旗人民检察院 2023年度一般公共预算财政拨款项目支出决算 559.00万元，其中：</w:t>
      </w:r>
    </w:p>
    <w:p w14:paraId="5CA8ED74">
      <w:pPr>
        <w:keepNext w:val="0"/>
        <w:keepLines w:val="0"/>
        <w:pageBreakBefore w:val="0"/>
        <w:widowControl/>
        <w:kinsoku/>
        <w:wordWrap/>
        <w:overflowPunct/>
        <w:topLinePunct w:val="0"/>
        <w:autoSpaceDE/>
        <w:autoSpaceDN/>
        <w:bidi w:val="0"/>
        <w:spacing w:beforeAutospacing="0" w:afterAutospacing="0" w:line="560" w:lineRule="exact"/>
        <w:ind w:firstLine="640" w:firstLineChars="200"/>
        <w:textAlignment w:val="auto"/>
        <w:rPr>
          <w:rFonts w:hint="eastAsia" w:ascii="Times New Roman" w:hAnsi="Times New Roman" w:eastAsia="仿宋_GB2312" w:cs="Times New Roman"/>
          <w:b w:val="0"/>
          <w:bCs w:val="0"/>
          <w:color w:val="000000" w:themeColor="text1"/>
          <w:sz w:val="32"/>
          <w:szCs w:val="32"/>
          <w:lang w:val="en-US" w:eastAsia="zh-CN"/>
        </w:rPr>
      </w:pPr>
      <w:r>
        <w:rPr>
          <w:rFonts w:hint="default" w:ascii="Times New Roman" w:hAnsi="Times New Roman" w:eastAsia="楷体_GB2312" w:cs="Times New Roman"/>
          <w:kern w:val="0"/>
          <w:sz w:val="32"/>
          <w:szCs w:val="32"/>
          <w:lang w:bidi="ar"/>
        </w:rPr>
        <w:t>（一）商品和服务支出 494.00万元。</w:t>
      </w:r>
      <w:r>
        <w:rPr>
          <w:rFonts w:hint="eastAsia" w:ascii="Times New Roman" w:hAnsi="Times New Roman" w:eastAsia="仿宋_GB2312" w:cs="Times New Roman"/>
          <w:b w:val="0"/>
          <w:bCs w:val="0"/>
          <w:color w:val="000000" w:themeColor="text1"/>
          <w:sz w:val="32"/>
          <w:szCs w:val="32"/>
          <w:lang w:val="en-US" w:eastAsia="zh-CN"/>
        </w:rPr>
        <w:t>主要包括：办公费60.81万元、印刷费19万元、咨询费2.95万元、邮电费1万元、取暖费25.84万元、物业管理费90万元、差旅费85.60万元、维修（护）费110.53万元、租赁费3.53万元、培训费3.28万元、被装购置费1.36万元、劳务费13.35万元、委托业务费50.8万元、公务用车运行维护费25万元、其他交通费用0.96万元。</w:t>
      </w:r>
    </w:p>
    <w:p w14:paraId="61170F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b w:val="0"/>
          <w:bCs w:val="0"/>
          <w:color w:val="000000" w:themeColor="text1"/>
          <w:sz w:val="32"/>
          <w:szCs w:val="32"/>
          <w:lang w:val="en-US" w:eastAsia="zh-CN"/>
        </w:rPr>
      </w:pPr>
      <w:r>
        <w:rPr>
          <w:rFonts w:hint="eastAsia" w:ascii="Times New Roman" w:hAnsi="Times New Roman" w:eastAsia="楷体_GB2312" w:cs="Times New Roman"/>
          <w:kern w:val="0"/>
          <w:sz w:val="32"/>
          <w:szCs w:val="32"/>
          <w:lang w:bidi="ar"/>
        </w:rPr>
        <w:t>（</w:t>
      </w:r>
      <w:r>
        <w:rPr>
          <w:rFonts w:hint="eastAsia" w:eastAsia="楷体_GB2312" w:cs="Times New Roman"/>
          <w:kern w:val="0"/>
          <w:sz w:val="32"/>
          <w:szCs w:val="32"/>
          <w:lang w:val="en-US" w:eastAsia="zh-CN" w:bidi="ar"/>
        </w:rPr>
        <w:t>二</w:t>
      </w:r>
      <w:r>
        <w:rPr>
          <w:rFonts w:hint="eastAsia" w:ascii="Times New Roman" w:hAnsi="Times New Roman" w:eastAsia="楷体_GB2312" w:cs="Times New Roman"/>
          <w:kern w:val="0"/>
          <w:sz w:val="32"/>
          <w:szCs w:val="32"/>
          <w:lang w:bidi="ar"/>
        </w:rPr>
        <w:t>）对个人和家庭的补助</w:t>
      </w:r>
      <w:r>
        <w:rPr>
          <w:rFonts w:hint="eastAsia" w:eastAsia="楷体_GB2312" w:cs="Times New Roman"/>
          <w:kern w:val="0"/>
          <w:sz w:val="32"/>
          <w:szCs w:val="32"/>
          <w:lang w:val="en-US" w:eastAsia="zh-CN" w:bidi="ar"/>
        </w:rPr>
        <w:t>5</w:t>
      </w:r>
      <w:r>
        <w:rPr>
          <w:rFonts w:hint="eastAsia" w:ascii="Times New Roman" w:hAnsi="Times New Roman" w:eastAsia="楷体_GB2312" w:cs="Times New Roman"/>
          <w:kern w:val="0"/>
          <w:sz w:val="32"/>
          <w:szCs w:val="32"/>
          <w:lang w:bidi="ar"/>
        </w:rPr>
        <w:t>万元。</w:t>
      </w:r>
      <w:r>
        <w:rPr>
          <w:rFonts w:hint="eastAsia" w:ascii="Times New Roman" w:hAnsi="Times New Roman" w:eastAsia="仿宋_GB2312" w:cs="Times New Roman"/>
          <w:b w:val="0"/>
          <w:bCs w:val="0"/>
          <w:color w:val="000000" w:themeColor="text1"/>
          <w:sz w:val="32"/>
          <w:szCs w:val="32"/>
          <w:lang w:val="en-US" w:eastAsia="zh-CN"/>
        </w:rPr>
        <w:t>全部为救济费5万元，是我院办理的司法救助费用。</w:t>
      </w:r>
    </w:p>
    <w:p w14:paraId="2D885D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b w:val="0"/>
          <w:bCs w:val="0"/>
          <w:color w:val="000000" w:themeColor="text1"/>
          <w:sz w:val="32"/>
          <w:szCs w:val="32"/>
          <w:lang w:val="en-US" w:eastAsia="zh-CN"/>
        </w:rPr>
      </w:pPr>
      <w:r>
        <w:rPr>
          <w:rFonts w:hint="default" w:ascii="Times New Roman" w:hAnsi="Times New Roman" w:eastAsia="楷体_GB2312" w:cs="Times New Roman"/>
          <w:kern w:val="0"/>
          <w:sz w:val="32"/>
          <w:szCs w:val="32"/>
        </w:rPr>
        <w:t>（</w:t>
      </w:r>
      <w:r>
        <w:rPr>
          <w:rFonts w:hint="default" w:ascii="Times New Roman" w:hAnsi="Times New Roman" w:eastAsia="楷体_GB2312" w:cs="Times New Roman"/>
          <w:kern w:val="0"/>
          <w:sz w:val="32"/>
          <w:szCs w:val="32"/>
          <w:lang w:val="en-US" w:eastAsia="zh-CN"/>
        </w:rPr>
        <w:t>三</w:t>
      </w:r>
      <w:r>
        <w:rPr>
          <w:rFonts w:hint="default" w:ascii="Times New Roman" w:hAnsi="Times New Roman" w:eastAsia="楷体_GB2312" w:cs="Times New Roman"/>
          <w:kern w:val="0"/>
          <w:sz w:val="32"/>
          <w:szCs w:val="32"/>
        </w:rPr>
        <w:t>）资本性支出</w:t>
      </w:r>
      <w:r>
        <w:rPr>
          <w:rFonts w:hint="default" w:ascii="Times New Roman" w:hAnsi="Times New Roman" w:eastAsia="楷体_GB2312" w:cs="Times New Roman"/>
          <w:kern w:val="0"/>
          <w:sz w:val="32"/>
          <w:szCs w:val="32"/>
          <w:lang w:val="en-US" w:eastAsia="zh-CN"/>
        </w:rPr>
        <w:t>60</w:t>
      </w:r>
      <w:r>
        <w:rPr>
          <w:rFonts w:hint="default" w:ascii="Times New Roman" w:hAnsi="Times New Roman" w:eastAsia="楷体_GB2312" w:cs="Times New Roman"/>
          <w:kern w:val="0"/>
          <w:sz w:val="32"/>
          <w:szCs w:val="32"/>
        </w:rPr>
        <w:t>万元。</w:t>
      </w:r>
      <w:r>
        <w:rPr>
          <w:rFonts w:hint="eastAsia" w:ascii="Times New Roman" w:hAnsi="Times New Roman" w:eastAsia="仿宋_GB2312" w:cs="Times New Roman"/>
          <w:b w:val="0"/>
          <w:bCs w:val="0"/>
          <w:color w:val="000000" w:themeColor="text1"/>
          <w:sz w:val="32"/>
          <w:szCs w:val="32"/>
          <w:lang w:val="en-US" w:eastAsia="zh-CN"/>
        </w:rPr>
        <w:t>主要包括：办公设备购置60万元。</w:t>
      </w:r>
    </w:p>
    <w:p w14:paraId="3FC0A4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ascii="Times New Roman" w:hAnsi="Times New Roman" w:eastAsia="Times New Roman" w:cs="Times New Roman"/>
          <w:kern w:val="0"/>
          <w:sz w:val="24"/>
        </w:rPr>
      </w:pPr>
      <w:r>
        <w:rPr>
          <w:rFonts w:hint="eastAsia" w:ascii="黑体" w:hAnsi="黑体" w:eastAsia="黑体" w:cs="Times New Roman"/>
          <w:sz w:val="32"/>
          <w:szCs w:val="32"/>
          <w:lang w:val="en-US" w:eastAsia="zh-CN"/>
        </w:rPr>
        <w:t>八、财政拨款“三公”经费支出决算情况说明</w:t>
      </w:r>
    </w:p>
    <w:p w14:paraId="4903514F">
      <w:pPr>
        <w:keepNext w:val="0"/>
        <w:keepLines w:val="0"/>
        <w:pageBreakBefore w:val="0"/>
        <w:widowControl/>
        <w:kinsoku/>
        <w:wordWrap/>
        <w:overflowPunct/>
        <w:topLinePunct w:val="0"/>
        <w:autoSpaceDE/>
        <w:autoSpaceDN/>
        <w:bidi w:val="0"/>
        <w:spacing w:beforeAutospacing="0" w:afterAutospacing="0" w:line="560" w:lineRule="exact"/>
        <w:jc w:val="left"/>
        <w:textAlignment w:val="auto"/>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xml:space="preserve">    </w:t>
      </w:r>
      <w:r>
        <w:rPr>
          <w:rFonts w:hint="eastAsia" w:ascii="楷体_GB2312" w:hAnsi="宋体" w:eastAsia="楷体_GB2312" w:cs="楷体_GB2312"/>
          <w:kern w:val="0"/>
          <w:sz w:val="32"/>
          <w:szCs w:val="32"/>
          <w:lang w:bidi="ar"/>
        </w:rPr>
        <w:t>（一）财政拨款“三公”经费支出总体情况说明。</w:t>
      </w:r>
    </w:p>
    <w:p w14:paraId="68283A12">
      <w:pPr>
        <w:keepNext w:val="0"/>
        <w:keepLines w:val="0"/>
        <w:pageBreakBefore w:val="0"/>
        <w:widowControl/>
        <w:kinsoku/>
        <w:wordWrap/>
        <w:overflowPunct/>
        <w:topLinePunct w:val="0"/>
        <w:autoSpaceDE/>
        <w:autoSpaceDN/>
        <w:bidi w:val="0"/>
        <w:spacing w:beforeAutospacing="0" w:afterAutospacing="0" w:line="560" w:lineRule="exact"/>
        <w:ind w:firstLine="640" w:firstLineChars="200"/>
        <w:textAlignment w:val="auto"/>
        <w:rPr>
          <w:rFonts w:hint="eastAsia" w:ascii="Times New Roman" w:hAnsi="Times New Roman" w:eastAsia="仿宋_GB2312" w:cs="Times New Roman"/>
          <w:b w:val="0"/>
          <w:bCs w:val="0"/>
          <w:color w:val="000000" w:themeColor="text1"/>
          <w:sz w:val="32"/>
          <w:szCs w:val="32"/>
          <w:lang w:val="en-US" w:eastAsia="zh-CN"/>
        </w:rPr>
      </w:pPr>
      <w:r>
        <w:rPr>
          <w:rFonts w:hint="eastAsia" w:ascii="Times New Roman" w:hAnsi="Times New Roman" w:eastAsia="仿宋_GB2312" w:cs="Times New Roman"/>
          <w:b w:val="0"/>
          <w:bCs w:val="0"/>
          <w:color w:val="000000" w:themeColor="text1"/>
          <w:sz w:val="32"/>
          <w:szCs w:val="32"/>
          <w:lang w:val="en-US" w:eastAsia="zh-CN"/>
        </w:rPr>
        <w:t>杭锦旗人民检察院 2023年度财政拨款“三公”经费全年预算 26.70万元，支出决算 26.70万元，完成预算的 100.00%。其中：因公出国（境）费全年预算 0.00万元，支出决算 0.00万元，完成预算的</w:t>
      </w:r>
      <w:r>
        <w:rPr>
          <w:rFonts w:hint="eastAsia" w:eastAsia="仿宋_GB2312" w:cs="Times New Roman"/>
          <w:b w:val="0"/>
          <w:bCs w:val="0"/>
          <w:color w:val="000000" w:themeColor="text1"/>
          <w:sz w:val="32"/>
          <w:szCs w:val="32"/>
          <w:lang w:val="en-US" w:eastAsia="zh-CN"/>
        </w:rPr>
        <w:t>0</w:t>
      </w:r>
      <w:r>
        <w:rPr>
          <w:rFonts w:hint="eastAsia" w:ascii="Times New Roman" w:hAnsi="Times New Roman" w:eastAsia="仿宋_GB2312" w:cs="Times New Roman"/>
          <w:b w:val="0"/>
          <w:bCs w:val="0"/>
          <w:color w:val="000000" w:themeColor="text1"/>
          <w:sz w:val="32"/>
          <w:szCs w:val="32"/>
          <w:lang w:val="en-US" w:eastAsia="zh-CN"/>
        </w:rPr>
        <w:t>%；公务用车购置及运行维护费全年预算 25.00万元，支出决算 25.00万元，完成预算的 100.00%；公务接待费全年预算 1.70万元，支出决算 1.70万元，完成预算的 100.00%。2023年度一般公共预算财政拨款“三公”经费支出决算与预算差异原因</w:t>
      </w:r>
      <w:r>
        <w:rPr>
          <w:rFonts w:hint="eastAsia" w:eastAsia="仿宋_GB2312" w:cs="Times New Roman"/>
          <w:b w:val="0"/>
          <w:bCs w:val="0"/>
          <w:color w:val="000000" w:themeColor="text1"/>
          <w:sz w:val="32"/>
          <w:szCs w:val="32"/>
          <w:lang w:val="en-US" w:eastAsia="zh-CN"/>
        </w:rPr>
        <w:t>：</w:t>
      </w:r>
      <w:r>
        <w:rPr>
          <w:rFonts w:hint="eastAsia" w:ascii="仿宋_GB2312" w:hAnsi="Verdana" w:eastAsia="仿宋_GB2312" w:cs="仿宋_GB2312"/>
          <w:b w:val="0"/>
          <w:bCs w:val="0"/>
          <w:kern w:val="0"/>
          <w:sz w:val="32"/>
          <w:szCs w:val="32"/>
        </w:rPr>
        <w:t>无差异。</w:t>
      </w:r>
    </w:p>
    <w:p w14:paraId="7868BDBC">
      <w:pPr>
        <w:keepNext w:val="0"/>
        <w:keepLines w:val="0"/>
        <w:pageBreakBefore w:val="0"/>
        <w:widowControl/>
        <w:kinsoku/>
        <w:wordWrap/>
        <w:overflowPunct/>
        <w:topLinePunct w:val="0"/>
        <w:autoSpaceDE/>
        <w:autoSpaceDN/>
        <w:bidi w:val="0"/>
        <w:spacing w:beforeAutospacing="0" w:afterAutospacing="0" w:line="560" w:lineRule="exact"/>
        <w:jc w:val="left"/>
        <w:textAlignment w:val="auto"/>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xml:space="preserve">    </w:t>
      </w:r>
      <w:r>
        <w:rPr>
          <w:rFonts w:hint="eastAsia" w:ascii="楷体_GB2312" w:hAnsi="宋体" w:eastAsia="楷体_GB2312" w:cs="楷体_GB2312"/>
          <w:kern w:val="0"/>
          <w:sz w:val="32"/>
          <w:szCs w:val="32"/>
          <w:lang w:bidi="ar"/>
        </w:rPr>
        <w:t>（二）财政拨款“三公”经费支出具体情况说明。</w:t>
      </w:r>
    </w:p>
    <w:p w14:paraId="76777588">
      <w:pPr>
        <w:keepNext w:val="0"/>
        <w:keepLines w:val="0"/>
        <w:pageBreakBefore w:val="0"/>
        <w:widowControl/>
        <w:kinsoku/>
        <w:wordWrap/>
        <w:overflowPunct/>
        <w:topLinePunct w:val="0"/>
        <w:autoSpaceDE/>
        <w:autoSpaceDN/>
        <w:bidi w:val="0"/>
        <w:spacing w:beforeAutospacing="0" w:afterAutospacing="0" w:line="560" w:lineRule="exact"/>
        <w:textAlignment w:val="auto"/>
        <w:rPr>
          <w:rFonts w:hint="eastAsia" w:ascii="Times New Roman" w:hAnsi="Times New Roman" w:eastAsia="仿宋_GB2312" w:cs="Times New Roman"/>
          <w:b w:val="0"/>
          <w:bCs w:val="0"/>
          <w:color w:val="000000" w:themeColor="text1"/>
          <w:sz w:val="32"/>
          <w:szCs w:val="32"/>
          <w:lang w:val="en-US" w:eastAsia="zh-CN"/>
        </w:rPr>
      </w:pPr>
      <w:r>
        <w:rPr>
          <w:rFonts w:ascii="fang_song_gb2312" w:hAnsi="fang_song_gb2312" w:eastAsia="fang_song_gb2312" w:cs="fang_song_gb2312"/>
          <w:kern w:val="0"/>
          <w:sz w:val="27"/>
          <w:szCs w:val="27"/>
        </w:rPr>
        <w:t xml:space="preserve">    </w:t>
      </w:r>
      <w:r>
        <w:rPr>
          <w:rFonts w:hint="eastAsia" w:ascii="Times New Roman" w:hAnsi="Times New Roman" w:eastAsia="仿宋_GB2312" w:cs="Times New Roman"/>
          <w:b w:val="0"/>
          <w:bCs w:val="0"/>
          <w:color w:val="000000" w:themeColor="text1"/>
          <w:sz w:val="32"/>
          <w:szCs w:val="32"/>
          <w:lang w:val="en-US" w:eastAsia="zh-CN"/>
        </w:rPr>
        <w:t>杭锦旗人民检察院 2023年度财政拨款“三公”经费支出 26.70万元。因公出国（境）费支出 0.00万元，占 0.00%；公务用车购置及运行维护费支出 25.00万元，占 93.63%；公务接待费支出 1.70万元，占 6.37%。其中：</w:t>
      </w:r>
    </w:p>
    <w:p w14:paraId="5921EC63">
      <w:pPr>
        <w:keepNext w:val="0"/>
        <w:keepLines w:val="0"/>
        <w:pageBreakBefore w:val="0"/>
        <w:widowControl/>
        <w:kinsoku/>
        <w:wordWrap/>
        <w:overflowPunct/>
        <w:topLinePunct w:val="0"/>
        <w:autoSpaceDE/>
        <w:autoSpaceDN/>
        <w:bidi w:val="0"/>
        <w:spacing w:beforeAutospacing="0" w:afterAutospacing="0" w:line="560" w:lineRule="exact"/>
        <w:ind w:firstLine="640" w:firstLineChars="200"/>
        <w:textAlignment w:val="auto"/>
        <w:rPr>
          <w:rFonts w:hint="eastAsia" w:ascii="Times New Roman" w:hAnsi="Times New Roman" w:eastAsia="仿宋_GB2312" w:cs="Times New Roman"/>
          <w:b w:val="0"/>
          <w:bCs w:val="0"/>
          <w:color w:val="000000" w:themeColor="text1"/>
          <w:sz w:val="32"/>
          <w:szCs w:val="32"/>
          <w:lang w:val="en-US" w:eastAsia="zh-CN"/>
        </w:rPr>
      </w:pPr>
      <w:r>
        <w:rPr>
          <w:rFonts w:hint="eastAsia" w:ascii="Times New Roman" w:hAnsi="Times New Roman" w:eastAsia="仿宋_GB2312" w:cs="Times New Roman"/>
          <w:b w:val="0"/>
          <w:bCs w:val="0"/>
          <w:color w:val="000000" w:themeColor="text1"/>
          <w:sz w:val="32"/>
          <w:szCs w:val="32"/>
          <w:lang w:val="en-US" w:eastAsia="zh-CN"/>
        </w:rPr>
        <w:t>1.因公出国（境）费支出 0.00万元，全年出国（境）团组0 个，累计0 人次。与上年决算相比，增加0.00万元，增长</w:t>
      </w:r>
      <w:r>
        <w:rPr>
          <w:rFonts w:hint="eastAsia" w:eastAsia="仿宋_GB2312" w:cs="Times New Roman"/>
          <w:b w:val="0"/>
          <w:bCs w:val="0"/>
          <w:color w:val="000000" w:themeColor="text1"/>
          <w:sz w:val="32"/>
          <w:szCs w:val="32"/>
          <w:lang w:val="en-US" w:eastAsia="zh-CN"/>
        </w:rPr>
        <w:t>0</w:t>
      </w:r>
      <w:r>
        <w:rPr>
          <w:rFonts w:hint="eastAsia" w:ascii="Times New Roman" w:hAnsi="Times New Roman" w:eastAsia="仿宋_GB2312" w:cs="Times New Roman"/>
          <w:b w:val="0"/>
          <w:bCs w:val="0"/>
          <w:color w:val="000000" w:themeColor="text1"/>
          <w:sz w:val="32"/>
          <w:szCs w:val="32"/>
          <w:lang w:val="en-US" w:eastAsia="zh-CN"/>
        </w:rPr>
        <w:t xml:space="preserve">%，变动原因：无变动。    </w:t>
      </w:r>
    </w:p>
    <w:p w14:paraId="5175CD9B">
      <w:pPr>
        <w:keepNext w:val="0"/>
        <w:keepLines w:val="0"/>
        <w:pageBreakBefore w:val="0"/>
        <w:widowControl/>
        <w:kinsoku/>
        <w:wordWrap/>
        <w:overflowPunct/>
        <w:topLinePunct w:val="0"/>
        <w:autoSpaceDE/>
        <w:autoSpaceDN/>
        <w:bidi w:val="0"/>
        <w:spacing w:beforeAutospacing="0" w:afterAutospacing="0" w:line="560" w:lineRule="exact"/>
        <w:ind w:firstLine="640" w:firstLineChars="200"/>
        <w:textAlignment w:val="auto"/>
        <w:rPr>
          <w:rFonts w:hint="eastAsia" w:ascii="Times New Roman" w:hAnsi="Times New Roman" w:eastAsia="仿宋_GB2312" w:cs="Times New Roman"/>
          <w:b w:val="0"/>
          <w:bCs w:val="0"/>
          <w:color w:val="000000" w:themeColor="text1"/>
          <w:sz w:val="32"/>
          <w:szCs w:val="32"/>
          <w:lang w:val="en-US" w:eastAsia="zh-CN"/>
        </w:rPr>
      </w:pPr>
      <w:r>
        <w:rPr>
          <w:rFonts w:hint="eastAsia" w:ascii="Times New Roman" w:hAnsi="Times New Roman" w:eastAsia="仿宋_GB2312" w:cs="Times New Roman"/>
          <w:b w:val="0"/>
          <w:bCs w:val="0"/>
          <w:color w:val="000000" w:themeColor="text1"/>
          <w:sz w:val="32"/>
          <w:szCs w:val="32"/>
          <w:lang w:val="en-US" w:eastAsia="zh-CN"/>
        </w:rPr>
        <w:t>2.公务用车购置及运行维护费支出 25.00万元。其中：</w:t>
      </w:r>
    </w:p>
    <w:p w14:paraId="2F69C8E9">
      <w:pPr>
        <w:keepNext w:val="0"/>
        <w:keepLines w:val="0"/>
        <w:pageBreakBefore w:val="0"/>
        <w:widowControl/>
        <w:kinsoku/>
        <w:wordWrap/>
        <w:overflowPunct/>
        <w:topLinePunct w:val="0"/>
        <w:autoSpaceDE/>
        <w:autoSpaceDN/>
        <w:bidi w:val="0"/>
        <w:spacing w:beforeAutospacing="0" w:afterAutospacing="0" w:line="560" w:lineRule="exact"/>
        <w:textAlignment w:val="auto"/>
        <w:rPr>
          <w:rFonts w:hint="eastAsia" w:ascii="Times New Roman" w:hAnsi="Times New Roman" w:eastAsia="仿宋_GB2312" w:cs="Times New Roman"/>
          <w:b w:val="0"/>
          <w:bCs w:val="0"/>
          <w:color w:val="000000" w:themeColor="text1"/>
          <w:sz w:val="32"/>
          <w:szCs w:val="32"/>
          <w:lang w:val="en-US" w:eastAsia="zh-CN"/>
        </w:rPr>
      </w:pPr>
      <w:r>
        <w:rPr>
          <w:rFonts w:hint="eastAsia" w:ascii="Times New Roman" w:hAnsi="Times New Roman" w:eastAsia="仿宋_GB2312" w:cs="Times New Roman"/>
          <w:b w:val="0"/>
          <w:bCs w:val="0"/>
          <w:color w:val="000000" w:themeColor="text1"/>
          <w:sz w:val="32"/>
          <w:szCs w:val="32"/>
          <w:lang w:val="en-US" w:eastAsia="zh-CN"/>
        </w:rPr>
        <w:t>    （1）公务用车购置支出0.00万元。本年度使用财政拨款购置公务用车0 辆。与上年决算相比，增加0.00万元，增长</w:t>
      </w:r>
      <w:r>
        <w:rPr>
          <w:rFonts w:hint="eastAsia" w:eastAsia="仿宋_GB2312" w:cs="Times New Roman"/>
          <w:b w:val="0"/>
          <w:bCs w:val="0"/>
          <w:color w:val="000000" w:themeColor="text1"/>
          <w:sz w:val="32"/>
          <w:szCs w:val="32"/>
          <w:lang w:val="en-US" w:eastAsia="zh-CN"/>
        </w:rPr>
        <w:t>0</w:t>
      </w:r>
      <w:r>
        <w:rPr>
          <w:rFonts w:hint="eastAsia" w:ascii="Times New Roman" w:hAnsi="Times New Roman" w:eastAsia="仿宋_GB2312" w:cs="Times New Roman"/>
          <w:b w:val="0"/>
          <w:bCs w:val="0"/>
          <w:color w:val="000000" w:themeColor="text1"/>
          <w:sz w:val="32"/>
          <w:szCs w:val="32"/>
          <w:lang w:val="en-US" w:eastAsia="zh-CN"/>
        </w:rPr>
        <w:t>%，变动原因：无变动。</w:t>
      </w:r>
    </w:p>
    <w:p w14:paraId="767EB0D9">
      <w:pPr>
        <w:keepNext w:val="0"/>
        <w:keepLines w:val="0"/>
        <w:pageBreakBefore w:val="0"/>
        <w:widowControl/>
        <w:kinsoku/>
        <w:wordWrap/>
        <w:overflowPunct/>
        <w:topLinePunct w:val="0"/>
        <w:autoSpaceDE/>
        <w:autoSpaceDN/>
        <w:bidi w:val="0"/>
        <w:spacing w:beforeAutospacing="0" w:afterAutospacing="0" w:line="560" w:lineRule="exact"/>
        <w:textAlignment w:val="auto"/>
        <w:rPr>
          <w:rFonts w:hint="eastAsia" w:ascii="Times New Roman" w:hAnsi="Times New Roman" w:eastAsia="仿宋_GB2312" w:cs="Times New Roman"/>
          <w:b w:val="0"/>
          <w:bCs w:val="0"/>
          <w:color w:val="000000" w:themeColor="text1"/>
          <w:sz w:val="32"/>
          <w:szCs w:val="32"/>
          <w:lang w:val="en-US" w:eastAsia="zh-CN"/>
        </w:rPr>
      </w:pPr>
      <w:r>
        <w:rPr>
          <w:rFonts w:hint="eastAsia" w:ascii="Times New Roman" w:hAnsi="Times New Roman" w:eastAsia="仿宋_GB2312" w:cs="Times New Roman"/>
          <w:b w:val="0"/>
          <w:bCs w:val="0"/>
          <w:color w:val="000000" w:themeColor="text1"/>
          <w:sz w:val="32"/>
          <w:szCs w:val="32"/>
          <w:lang w:val="en-US" w:eastAsia="zh-CN"/>
        </w:rPr>
        <w:t>    （2）公务用车运行维护费支出 25.00万元。公务用车运行维护费主要用于按规定保留的公务用车的燃料费、维修费、过桥过路费、保险费、安全奖励费用等支出。截至2023年12月31日，使用财政拨款开支的公务用车保有量为7 辆。与上年决算相比，增加0.00万元，增长0.00%，变动原因：无变动。</w:t>
      </w:r>
    </w:p>
    <w:p w14:paraId="0A9D43DF">
      <w:pPr>
        <w:keepNext w:val="0"/>
        <w:keepLines w:val="0"/>
        <w:pageBreakBefore w:val="0"/>
        <w:widowControl/>
        <w:kinsoku/>
        <w:wordWrap/>
        <w:overflowPunct/>
        <w:topLinePunct w:val="0"/>
        <w:autoSpaceDE/>
        <w:autoSpaceDN/>
        <w:bidi w:val="0"/>
        <w:spacing w:beforeAutospacing="0" w:afterAutospacing="0" w:line="560" w:lineRule="exact"/>
        <w:ind w:firstLine="640" w:firstLineChars="200"/>
        <w:textAlignment w:val="auto"/>
        <w:rPr>
          <w:rFonts w:ascii="Times New Roman" w:hAnsi="Times New Roman" w:eastAsia="Times New Roman" w:cs="Times New Roman"/>
          <w:kern w:val="0"/>
          <w:sz w:val="24"/>
        </w:rPr>
      </w:pPr>
      <w:r>
        <w:rPr>
          <w:rFonts w:hint="eastAsia" w:ascii="Times New Roman" w:hAnsi="Times New Roman" w:eastAsia="仿宋_GB2312" w:cs="Times New Roman"/>
          <w:b w:val="0"/>
          <w:bCs w:val="0"/>
          <w:color w:val="000000" w:themeColor="text1"/>
          <w:sz w:val="32"/>
          <w:szCs w:val="32"/>
          <w:lang w:val="en-US" w:eastAsia="zh-CN"/>
        </w:rPr>
        <w:t>3.公务接待费支出 1.70万元。其中：国内公务接待支出 1.70万元，接待12 批次，176 人次，开支内容：</w:t>
      </w:r>
      <w:r>
        <w:rPr>
          <w:rFonts w:hint="eastAsia" w:ascii="仿宋_GB2312" w:hAnsi="Verdana" w:eastAsia="仿宋_GB2312" w:cs="仿宋_GB2312"/>
          <w:b w:val="0"/>
          <w:bCs w:val="0"/>
          <w:kern w:val="0"/>
          <w:sz w:val="32"/>
          <w:szCs w:val="32"/>
        </w:rPr>
        <w:t>主要用于上级检察机关及其他单位莅临检查指导工作以及其他旗区检察院案件评查等</w:t>
      </w:r>
      <w:r>
        <w:rPr>
          <w:rFonts w:hint="eastAsia" w:ascii="Times New Roman" w:hAnsi="Times New Roman" w:eastAsia="仿宋_GB2312" w:cs="Times New Roman"/>
          <w:b w:val="0"/>
          <w:bCs w:val="0"/>
          <w:color w:val="000000" w:themeColor="text1"/>
          <w:sz w:val="32"/>
          <w:szCs w:val="32"/>
          <w:lang w:val="en-US" w:eastAsia="zh-CN"/>
        </w:rPr>
        <w:t>；国（境）外公务接待支出0.00万元，接待0 批次，0 人次。与上年决算相比，增加0.00万元，增长0.00%，变动原因：无变动。</w:t>
      </w:r>
    </w:p>
    <w:p w14:paraId="517853AA">
      <w:pPr>
        <w:keepNext w:val="0"/>
        <w:keepLines w:val="0"/>
        <w:pageBreakBefore w:val="0"/>
        <w:widowControl/>
        <w:kinsoku/>
        <w:wordWrap/>
        <w:overflowPunct/>
        <w:topLinePunct w:val="0"/>
        <w:autoSpaceDE/>
        <w:autoSpaceDN/>
        <w:bidi w:val="0"/>
        <w:spacing w:beforeAutospacing="0" w:afterAutospacing="0" w:line="560" w:lineRule="exact"/>
        <w:ind w:firstLine="640" w:firstLineChars="200"/>
        <w:jc w:val="left"/>
        <w:textAlignment w:val="auto"/>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九、政府性基金预算财政拨款支出决算情况说明</w:t>
      </w:r>
    </w:p>
    <w:p w14:paraId="0AEDD56E">
      <w:pPr>
        <w:keepNext w:val="0"/>
        <w:keepLines w:val="0"/>
        <w:pageBreakBefore w:val="0"/>
        <w:widowControl/>
        <w:kinsoku/>
        <w:wordWrap/>
        <w:overflowPunct/>
        <w:topLinePunct w:val="0"/>
        <w:autoSpaceDE/>
        <w:autoSpaceDN/>
        <w:bidi w:val="0"/>
        <w:spacing w:beforeAutospacing="0" w:afterAutospacing="0" w:line="560" w:lineRule="exact"/>
        <w:ind w:firstLine="640" w:firstLineChars="200"/>
        <w:textAlignment w:val="auto"/>
        <w:rPr>
          <w:rFonts w:hint="eastAsia" w:ascii="仿宋_GB2312" w:hAnsi="Verdana" w:eastAsia="仿宋_GB2312" w:cs="仿宋_GB2312"/>
          <w:b w:val="0"/>
          <w:bCs w:val="0"/>
          <w:kern w:val="0"/>
          <w:sz w:val="32"/>
          <w:szCs w:val="32"/>
        </w:rPr>
      </w:pPr>
      <w:r>
        <w:rPr>
          <w:rFonts w:hint="eastAsia" w:ascii="Times New Roman" w:hAnsi="Times New Roman" w:eastAsia="仿宋_GB2312" w:cs="Times New Roman"/>
          <w:b w:val="0"/>
          <w:bCs w:val="0"/>
          <w:color w:val="000000" w:themeColor="text1"/>
          <w:sz w:val="32"/>
          <w:szCs w:val="32"/>
          <w:lang w:val="en-US" w:eastAsia="zh-CN"/>
        </w:rPr>
        <w:t>杭锦旗人民检察院 2023年度政府性基金预算财政拨款支出决算 0.00万元。与上年决算相比，增加0.00万元，增长</w:t>
      </w:r>
      <w:r>
        <w:rPr>
          <w:rFonts w:hint="eastAsia" w:eastAsia="仿宋_GB2312" w:cs="Times New Roman"/>
          <w:b w:val="0"/>
          <w:bCs w:val="0"/>
          <w:color w:val="000000" w:themeColor="text1"/>
          <w:sz w:val="32"/>
          <w:szCs w:val="32"/>
          <w:lang w:val="en-US" w:eastAsia="zh-CN"/>
        </w:rPr>
        <w:t>0</w:t>
      </w:r>
      <w:r>
        <w:rPr>
          <w:rFonts w:hint="eastAsia" w:ascii="Times New Roman" w:hAnsi="Times New Roman" w:eastAsia="仿宋_GB2312" w:cs="Times New Roman"/>
          <w:b w:val="0"/>
          <w:bCs w:val="0"/>
          <w:color w:val="000000" w:themeColor="text1"/>
          <w:sz w:val="32"/>
          <w:szCs w:val="32"/>
          <w:lang w:val="en-US" w:eastAsia="zh-CN"/>
        </w:rPr>
        <w:t>%，变动原因：</w:t>
      </w:r>
      <w:r>
        <w:rPr>
          <w:rFonts w:hint="eastAsia" w:ascii="仿宋_GB2312" w:hAnsi="Verdana" w:eastAsia="仿宋_GB2312" w:cs="仿宋_GB2312"/>
          <w:b w:val="0"/>
          <w:bCs w:val="0"/>
          <w:kern w:val="0"/>
          <w:sz w:val="32"/>
          <w:szCs w:val="32"/>
        </w:rPr>
        <w:t>本部门无政府性基金预算财政拨款收、支、余。</w:t>
      </w:r>
    </w:p>
    <w:p w14:paraId="4CB86DE4">
      <w:pPr>
        <w:keepNext w:val="0"/>
        <w:keepLines w:val="0"/>
        <w:pageBreakBefore w:val="0"/>
        <w:widowControl/>
        <w:kinsoku/>
        <w:wordWrap/>
        <w:overflowPunct/>
        <w:topLinePunct w:val="0"/>
        <w:autoSpaceDE/>
        <w:autoSpaceDN/>
        <w:bidi w:val="0"/>
        <w:spacing w:beforeAutospacing="0" w:afterAutospacing="0" w:line="560" w:lineRule="exact"/>
        <w:ind w:firstLine="640" w:firstLineChars="200"/>
        <w:jc w:val="left"/>
        <w:textAlignment w:val="auto"/>
        <w:rPr>
          <w:rFonts w:ascii="Times New Roman" w:hAnsi="Times New Roman" w:eastAsia="Times New Roman" w:cs="Times New Roman"/>
          <w:kern w:val="0"/>
          <w:sz w:val="24"/>
        </w:rPr>
      </w:pPr>
      <w:r>
        <w:rPr>
          <w:rFonts w:hint="eastAsia" w:ascii="黑体" w:hAnsi="黑体" w:eastAsia="黑体" w:cs="Times New Roman"/>
          <w:sz w:val="32"/>
          <w:szCs w:val="32"/>
          <w:lang w:val="en-US" w:eastAsia="zh-CN"/>
        </w:rPr>
        <w:t>十、国有资本经营预算财政拨款支出决算情况说明</w:t>
      </w:r>
    </w:p>
    <w:p w14:paraId="6F722246">
      <w:pPr>
        <w:keepNext w:val="0"/>
        <w:keepLines w:val="0"/>
        <w:pageBreakBefore w:val="0"/>
        <w:widowControl/>
        <w:kinsoku/>
        <w:wordWrap/>
        <w:overflowPunct/>
        <w:topLinePunct w:val="0"/>
        <w:autoSpaceDE/>
        <w:autoSpaceDN/>
        <w:bidi w:val="0"/>
        <w:spacing w:beforeAutospacing="0" w:afterAutospacing="0" w:line="560" w:lineRule="exact"/>
        <w:ind w:firstLine="640" w:firstLineChars="200"/>
        <w:textAlignment w:val="auto"/>
        <w:rPr>
          <w:rFonts w:ascii="Times New Roman" w:hAnsi="Times New Roman" w:eastAsia="Times New Roman" w:cs="Times New Roman"/>
          <w:kern w:val="0"/>
          <w:sz w:val="24"/>
        </w:rPr>
      </w:pPr>
      <w:r>
        <w:rPr>
          <w:rFonts w:hint="eastAsia" w:ascii="Times New Roman" w:hAnsi="Times New Roman" w:eastAsia="仿宋_GB2312" w:cs="Times New Roman"/>
          <w:b w:val="0"/>
          <w:bCs w:val="0"/>
          <w:color w:val="000000" w:themeColor="text1"/>
          <w:sz w:val="32"/>
          <w:szCs w:val="32"/>
          <w:lang w:val="en-US" w:eastAsia="zh-CN"/>
        </w:rPr>
        <w:t>杭锦旗人民检察院 2023年度国有资本经营预算财政拨款支出决算 0.00万元。与上年决算相比，增加0.00万元，增长</w:t>
      </w:r>
      <w:r>
        <w:rPr>
          <w:rFonts w:hint="eastAsia" w:eastAsia="仿宋_GB2312" w:cs="Times New Roman"/>
          <w:b w:val="0"/>
          <w:bCs w:val="0"/>
          <w:color w:val="000000" w:themeColor="text1"/>
          <w:sz w:val="32"/>
          <w:szCs w:val="32"/>
          <w:lang w:val="en-US" w:eastAsia="zh-CN"/>
        </w:rPr>
        <w:t>0</w:t>
      </w:r>
      <w:r>
        <w:rPr>
          <w:rFonts w:hint="eastAsia" w:ascii="Times New Roman" w:hAnsi="Times New Roman" w:eastAsia="仿宋_GB2312" w:cs="Times New Roman"/>
          <w:b w:val="0"/>
          <w:bCs w:val="0"/>
          <w:color w:val="000000" w:themeColor="text1"/>
          <w:sz w:val="32"/>
          <w:szCs w:val="32"/>
          <w:lang w:val="en-US" w:eastAsia="zh-CN"/>
        </w:rPr>
        <w:t>%，变动原因：</w:t>
      </w:r>
      <w:r>
        <w:rPr>
          <w:rFonts w:hint="eastAsia" w:ascii="仿宋_GB2312" w:hAnsi="Verdana" w:eastAsia="仿宋_GB2312" w:cs="仿宋_GB2312"/>
          <w:b w:val="0"/>
          <w:bCs w:val="0"/>
          <w:kern w:val="0"/>
          <w:sz w:val="32"/>
          <w:szCs w:val="32"/>
        </w:rPr>
        <w:t>本部门无国有资本经营预算财政拨款收、支、余。</w:t>
      </w:r>
    </w:p>
    <w:p w14:paraId="0A93B3C3">
      <w:pPr>
        <w:keepNext w:val="0"/>
        <w:keepLines w:val="0"/>
        <w:pageBreakBefore w:val="0"/>
        <w:widowControl/>
        <w:kinsoku/>
        <w:wordWrap/>
        <w:overflowPunct/>
        <w:topLinePunct w:val="0"/>
        <w:autoSpaceDE/>
        <w:autoSpaceDN/>
        <w:bidi w:val="0"/>
        <w:spacing w:beforeAutospacing="0" w:afterAutospacing="0" w:line="560" w:lineRule="exact"/>
        <w:ind w:firstLine="640" w:firstLineChars="200"/>
        <w:textAlignment w:val="auto"/>
        <w:rPr>
          <w:rFonts w:ascii="Times New Roman" w:hAnsi="Times New Roman" w:eastAsia="Times New Roman" w:cs="Times New Roman"/>
          <w:kern w:val="0"/>
          <w:sz w:val="24"/>
        </w:rPr>
      </w:pPr>
      <w:r>
        <w:rPr>
          <w:rFonts w:hint="eastAsia" w:ascii="黑体" w:hAnsi="黑体" w:eastAsia="黑体" w:cs="Times New Roman"/>
          <w:sz w:val="32"/>
          <w:szCs w:val="32"/>
          <w:lang w:val="en-US" w:eastAsia="zh-CN"/>
        </w:rPr>
        <w:t>十一、机构运行经费支出决算情况说明</w:t>
      </w:r>
    </w:p>
    <w:p w14:paraId="2DF1B1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540" w:firstLineChars="200"/>
        <w:jc w:val="both"/>
        <w:textAlignment w:val="auto"/>
        <w:rPr>
          <w:rFonts w:ascii="Times New Roman" w:hAnsi="Times New Roman" w:eastAsia="Times New Roman" w:cs="Times New Roman"/>
          <w:kern w:val="0"/>
          <w:sz w:val="24"/>
        </w:rPr>
      </w:pPr>
      <w:r>
        <w:rPr>
          <w:rFonts w:ascii="fang_song_gb2312" w:hAnsi="fang_song_gb2312" w:eastAsia="fang_song_gb2312" w:cs="fang_song_gb2312"/>
          <w:kern w:val="0"/>
          <w:sz w:val="27"/>
          <w:szCs w:val="27"/>
        </w:rPr>
        <w:t> </w:t>
      </w:r>
      <w:r>
        <w:rPr>
          <w:rFonts w:hint="eastAsia" w:ascii="Times New Roman" w:hAnsi="Times New Roman" w:eastAsia="仿宋_GB2312" w:cs="Times New Roman"/>
          <w:b w:val="0"/>
          <w:bCs w:val="0"/>
          <w:color w:val="000000" w:themeColor="text1"/>
          <w:sz w:val="32"/>
          <w:szCs w:val="32"/>
          <w:lang w:val="en-US" w:eastAsia="zh-CN"/>
        </w:rPr>
        <w:t>杭锦旗人民检察院 2023年度机构运行经费支出决算 66.75万元。比上年决算相比，增加4.96万元，增长8.02%，变动原因：</w:t>
      </w:r>
      <w:r>
        <w:rPr>
          <w:rFonts w:hint="eastAsia" w:ascii="仿宋_GB2312" w:hAnsi="Verdana" w:eastAsia="仿宋_GB2312" w:cs="仿宋_GB2312"/>
          <w:b w:val="0"/>
          <w:bCs w:val="0"/>
          <w:kern w:val="0"/>
          <w:sz w:val="32"/>
          <w:szCs w:val="32"/>
        </w:rPr>
        <w:t>人员工资增加，工会经费、福利费等相应增加。</w:t>
      </w:r>
    </w:p>
    <w:p w14:paraId="784B584F">
      <w:pPr>
        <w:keepNext w:val="0"/>
        <w:keepLines w:val="0"/>
        <w:pageBreakBefore w:val="0"/>
        <w:widowControl/>
        <w:kinsoku/>
        <w:wordWrap/>
        <w:overflowPunct/>
        <w:topLinePunct w:val="0"/>
        <w:autoSpaceDE/>
        <w:autoSpaceDN/>
        <w:bidi w:val="0"/>
        <w:spacing w:beforeAutospacing="0" w:afterAutospacing="0" w:line="560" w:lineRule="exact"/>
        <w:ind w:firstLine="640" w:firstLineChars="200"/>
        <w:jc w:val="left"/>
        <w:textAlignment w:val="auto"/>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十二、政府采购支出决算情况说明</w:t>
      </w:r>
    </w:p>
    <w:p w14:paraId="4F4B0F33">
      <w:pPr>
        <w:keepNext w:val="0"/>
        <w:keepLines w:val="0"/>
        <w:pageBreakBefore w:val="0"/>
        <w:widowControl/>
        <w:kinsoku/>
        <w:wordWrap/>
        <w:overflowPunct/>
        <w:topLinePunct w:val="0"/>
        <w:autoSpaceDE/>
        <w:autoSpaceDN/>
        <w:bidi w:val="0"/>
        <w:spacing w:beforeAutospacing="0" w:afterAutospacing="0" w:line="560" w:lineRule="exact"/>
        <w:ind w:firstLine="640" w:firstLineChars="200"/>
        <w:textAlignment w:val="auto"/>
        <w:rPr>
          <w:rFonts w:ascii="Times New Roman" w:hAnsi="Times New Roman" w:eastAsia="Times New Roman" w:cs="Times New Roman"/>
          <w:kern w:val="0"/>
          <w:sz w:val="24"/>
        </w:rPr>
      </w:pPr>
      <w:r>
        <w:rPr>
          <w:rFonts w:hint="eastAsia" w:ascii="Times New Roman" w:hAnsi="Times New Roman" w:eastAsia="仿宋_GB2312" w:cs="Times New Roman"/>
          <w:b w:val="0"/>
          <w:bCs w:val="0"/>
          <w:color w:val="000000" w:themeColor="text1"/>
          <w:sz w:val="32"/>
          <w:szCs w:val="32"/>
          <w:lang w:val="en-US" w:eastAsia="zh-CN"/>
        </w:rPr>
        <w:t>杭锦旗人民检察院 2023年度政府采购支出总额 192.58万元，其中：政府采购货物支出 61.21万元、政府采购工程支出 0.00万元、政府采购服务支出 131.37万元。政府采购授予中小企业合同金额 135.60万元，占政府采购支出总额的</w:t>
      </w:r>
      <w:r>
        <w:rPr>
          <w:rFonts w:hint="eastAsia" w:eastAsia="仿宋_GB2312" w:cs="Times New Roman"/>
          <w:b w:val="0"/>
          <w:bCs w:val="0"/>
          <w:color w:val="000000" w:themeColor="text1"/>
          <w:sz w:val="32"/>
          <w:szCs w:val="32"/>
          <w:lang w:val="en-US" w:eastAsia="zh-CN"/>
        </w:rPr>
        <w:t>70.41</w:t>
      </w:r>
      <w:r>
        <w:rPr>
          <w:rFonts w:hint="eastAsia" w:ascii="Times New Roman" w:hAnsi="Times New Roman" w:eastAsia="仿宋_GB2312" w:cs="Times New Roman"/>
          <w:b w:val="0"/>
          <w:bCs w:val="0"/>
          <w:color w:val="000000" w:themeColor="text1"/>
          <w:sz w:val="32"/>
          <w:szCs w:val="32"/>
          <w:lang w:val="en-US" w:eastAsia="zh-CN"/>
        </w:rPr>
        <w:t>%，其中：授予小微企业合同金额  135.60万元，占政府采购支出总额的</w:t>
      </w:r>
      <w:r>
        <w:rPr>
          <w:rFonts w:hint="eastAsia" w:eastAsia="仿宋_GB2312" w:cs="Times New Roman"/>
          <w:b w:val="0"/>
          <w:bCs w:val="0"/>
          <w:color w:val="000000" w:themeColor="text1"/>
          <w:sz w:val="32"/>
          <w:szCs w:val="32"/>
          <w:lang w:val="en-US" w:eastAsia="zh-CN"/>
        </w:rPr>
        <w:t>70.41</w:t>
      </w:r>
      <w:r>
        <w:rPr>
          <w:rFonts w:hint="eastAsia" w:ascii="Times New Roman" w:hAnsi="Times New Roman" w:eastAsia="仿宋_GB2312" w:cs="Times New Roman"/>
          <w:b w:val="0"/>
          <w:bCs w:val="0"/>
          <w:color w:val="000000" w:themeColor="text1"/>
          <w:sz w:val="32"/>
          <w:szCs w:val="32"/>
          <w:lang w:val="en-US" w:eastAsia="zh-CN"/>
        </w:rPr>
        <w:t>%；货物采购授予中小企业合同金额占货物支出金额的</w:t>
      </w:r>
      <w:r>
        <w:rPr>
          <w:rFonts w:hint="eastAsia" w:eastAsia="仿宋_GB2312" w:cs="Times New Roman"/>
          <w:b w:val="0"/>
          <w:bCs w:val="0"/>
          <w:color w:val="000000" w:themeColor="text1"/>
          <w:sz w:val="32"/>
          <w:szCs w:val="32"/>
          <w:lang w:val="en-US" w:eastAsia="zh-CN"/>
        </w:rPr>
        <w:t>74.50</w:t>
      </w:r>
      <w:r>
        <w:rPr>
          <w:rFonts w:hint="eastAsia" w:ascii="Times New Roman" w:hAnsi="Times New Roman" w:eastAsia="仿宋_GB2312" w:cs="Times New Roman"/>
          <w:b w:val="0"/>
          <w:bCs w:val="0"/>
          <w:color w:val="000000" w:themeColor="text1"/>
          <w:sz w:val="32"/>
          <w:szCs w:val="32"/>
          <w:lang w:val="en-US" w:eastAsia="zh-CN"/>
        </w:rPr>
        <w:t>%，工程采购授予中小企业合同金额占工程支出金额的</w:t>
      </w:r>
      <w:r>
        <w:rPr>
          <w:rFonts w:hint="eastAsia" w:eastAsia="仿宋_GB2312" w:cs="Times New Roman"/>
          <w:b w:val="0"/>
          <w:bCs w:val="0"/>
          <w:color w:val="000000" w:themeColor="text1"/>
          <w:sz w:val="32"/>
          <w:szCs w:val="32"/>
          <w:lang w:val="en-US" w:eastAsia="zh-CN"/>
        </w:rPr>
        <w:t>0</w:t>
      </w:r>
      <w:r>
        <w:rPr>
          <w:rFonts w:hint="eastAsia" w:ascii="Times New Roman" w:hAnsi="Times New Roman" w:eastAsia="仿宋_GB2312" w:cs="Times New Roman"/>
          <w:b w:val="0"/>
          <w:bCs w:val="0"/>
          <w:color w:val="000000" w:themeColor="text1"/>
          <w:sz w:val="32"/>
          <w:szCs w:val="32"/>
          <w:lang w:val="en-US" w:eastAsia="zh-CN"/>
        </w:rPr>
        <w:t>%，服务采购授予中小企业合同金额占服务支出金额的</w:t>
      </w:r>
      <w:r>
        <w:rPr>
          <w:rFonts w:hint="eastAsia" w:eastAsia="仿宋_GB2312" w:cs="Times New Roman"/>
          <w:b w:val="0"/>
          <w:bCs w:val="0"/>
          <w:color w:val="000000" w:themeColor="text1"/>
          <w:sz w:val="32"/>
          <w:szCs w:val="32"/>
          <w:lang w:val="en-US" w:eastAsia="zh-CN"/>
        </w:rPr>
        <w:t>68.51</w:t>
      </w:r>
      <w:r>
        <w:rPr>
          <w:rFonts w:hint="eastAsia" w:ascii="Times New Roman" w:hAnsi="Times New Roman" w:eastAsia="仿宋_GB2312" w:cs="Times New Roman"/>
          <w:b w:val="0"/>
          <w:bCs w:val="0"/>
          <w:color w:val="000000" w:themeColor="text1"/>
          <w:sz w:val="32"/>
          <w:szCs w:val="32"/>
          <w:lang w:val="en-US" w:eastAsia="zh-CN"/>
        </w:rPr>
        <w:t>%。</w:t>
      </w:r>
    </w:p>
    <w:p w14:paraId="7F490656">
      <w:pPr>
        <w:keepNext w:val="0"/>
        <w:keepLines w:val="0"/>
        <w:pageBreakBefore w:val="0"/>
        <w:widowControl/>
        <w:kinsoku/>
        <w:wordWrap/>
        <w:overflowPunct/>
        <w:topLinePunct w:val="0"/>
        <w:autoSpaceDE/>
        <w:autoSpaceDN/>
        <w:bidi w:val="0"/>
        <w:spacing w:beforeAutospacing="0" w:afterAutospacing="0" w:line="560" w:lineRule="exact"/>
        <w:ind w:firstLine="640" w:firstLineChars="200"/>
        <w:jc w:val="left"/>
        <w:textAlignment w:val="auto"/>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十三、国有资产占用情况说明</w:t>
      </w:r>
    </w:p>
    <w:p w14:paraId="1ACCCD5F">
      <w:pPr>
        <w:keepNext w:val="0"/>
        <w:keepLines w:val="0"/>
        <w:pageBreakBefore w:val="0"/>
        <w:widowControl/>
        <w:kinsoku/>
        <w:wordWrap/>
        <w:overflowPunct/>
        <w:topLinePunct w:val="0"/>
        <w:autoSpaceDE/>
        <w:autoSpaceDN/>
        <w:bidi w:val="0"/>
        <w:spacing w:beforeAutospacing="0" w:afterAutospacing="0" w:line="560" w:lineRule="exact"/>
        <w:ind w:firstLine="640" w:firstLineChars="200"/>
        <w:textAlignment w:val="auto"/>
        <w:rPr>
          <w:rFonts w:hint="eastAsia" w:ascii="Times New Roman" w:hAnsi="Times New Roman" w:eastAsia="仿宋_GB2312" w:cs="Times New Roman"/>
          <w:b w:val="0"/>
          <w:bCs w:val="0"/>
          <w:color w:val="000000" w:themeColor="text1"/>
          <w:sz w:val="32"/>
          <w:szCs w:val="32"/>
          <w:lang w:val="en-US" w:eastAsia="zh-CN"/>
        </w:rPr>
      </w:pPr>
      <w:r>
        <w:rPr>
          <w:rFonts w:hint="eastAsia" w:ascii="Times New Roman" w:hAnsi="Times New Roman" w:eastAsia="仿宋_GB2312" w:cs="Times New Roman"/>
          <w:b w:val="0"/>
          <w:bCs w:val="0"/>
          <w:color w:val="000000" w:themeColor="text1"/>
          <w:sz w:val="32"/>
          <w:szCs w:val="32"/>
          <w:lang w:val="en-US" w:eastAsia="zh-CN"/>
        </w:rPr>
        <w:t>杭锦旗人民检察院 截至2023年12月31日，本部门共有车辆 9辆，其中：副部（省）级及以上领导用车0 辆、主要负责人用车 0辆、机要通信用车 1辆、应急保障用车 0辆、执法执勤用车 3辆、特种专业技术用车 3辆、离退休干部服务用车 0辆，其他用车 2辆；单价100万元（含）以上的设备（不含车辆） 0台（套）。</w:t>
      </w:r>
    </w:p>
    <w:p w14:paraId="3EFBDA62">
      <w:pPr>
        <w:keepNext w:val="0"/>
        <w:keepLines w:val="0"/>
        <w:pageBreakBefore w:val="0"/>
        <w:widowControl/>
        <w:kinsoku/>
        <w:wordWrap/>
        <w:overflowPunct/>
        <w:topLinePunct w:val="0"/>
        <w:autoSpaceDE/>
        <w:autoSpaceDN/>
        <w:bidi w:val="0"/>
        <w:spacing w:beforeAutospacing="0" w:afterAutospacing="0" w:line="560" w:lineRule="exact"/>
        <w:ind w:firstLine="640" w:firstLineChars="200"/>
        <w:textAlignment w:val="auto"/>
        <w:rPr>
          <w:rFonts w:ascii="Times New Roman" w:hAnsi="Times New Roman" w:eastAsia="Times New Roman" w:cs="Times New Roman"/>
          <w:kern w:val="0"/>
          <w:sz w:val="24"/>
        </w:rPr>
      </w:pPr>
      <w:r>
        <w:rPr>
          <w:rFonts w:hint="eastAsia" w:ascii="黑体" w:hAnsi="黑体" w:eastAsia="黑体" w:cs="Times New Roman"/>
          <w:sz w:val="32"/>
          <w:szCs w:val="32"/>
          <w:lang w:val="en-US" w:eastAsia="zh-CN"/>
        </w:rPr>
        <w:t>十四、预算绩效情况说明</w:t>
      </w:r>
    </w:p>
    <w:p w14:paraId="30EB83F2">
      <w:pPr>
        <w:keepNext w:val="0"/>
        <w:keepLines w:val="0"/>
        <w:pageBreakBefore w:val="0"/>
        <w:widowControl/>
        <w:kinsoku/>
        <w:wordWrap/>
        <w:overflowPunct/>
        <w:topLinePunct w:val="0"/>
        <w:autoSpaceDE/>
        <w:autoSpaceDN/>
        <w:bidi w:val="0"/>
        <w:spacing w:beforeAutospacing="0" w:afterAutospacing="0" w:line="560" w:lineRule="exact"/>
        <w:jc w:val="left"/>
        <w:textAlignment w:val="auto"/>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xml:space="preserve">    </w:t>
      </w:r>
      <w:r>
        <w:rPr>
          <w:rFonts w:hint="eastAsia" w:ascii="楷体_GB2312" w:hAnsi="宋体" w:eastAsia="楷体_GB2312" w:cs="楷体_GB2312"/>
          <w:kern w:val="0"/>
          <w:sz w:val="32"/>
          <w:szCs w:val="32"/>
          <w:lang w:bidi="ar"/>
        </w:rPr>
        <w:t>（一）预算绩效管理工作开展情况。</w:t>
      </w:r>
    </w:p>
    <w:p w14:paraId="0652A24E">
      <w:pPr>
        <w:keepNext w:val="0"/>
        <w:keepLines w:val="0"/>
        <w:pageBreakBefore w:val="0"/>
        <w:widowControl/>
        <w:kinsoku/>
        <w:wordWrap/>
        <w:overflowPunct/>
        <w:topLinePunct w:val="0"/>
        <w:autoSpaceDE/>
        <w:autoSpaceDN/>
        <w:bidi w:val="0"/>
        <w:spacing w:beforeAutospacing="0" w:afterAutospacing="0" w:line="560" w:lineRule="exact"/>
        <w:ind w:firstLine="640" w:firstLineChars="200"/>
        <w:textAlignment w:val="auto"/>
        <w:rPr>
          <w:rFonts w:hint="eastAsia" w:ascii="Times New Roman" w:hAnsi="Times New Roman" w:eastAsia="仿宋_GB2312" w:cs="Times New Roman"/>
          <w:b w:val="0"/>
          <w:bCs w:val="0"/>
          <w:color w:val="000000" w:themeColor="text1"/>
          <w:sz w:val="32"/>
          <w:szCs w:val="32"/>
          <w:lang w:val="en-US" w:eastAsia="zh-CN"/>
        </w:rPr>
      </w:pPr>
      <w:r>
        <w:rPr>
          <w:rFonts w:hint="eastAsia" w:ascii="Times New Roman" w:hAnsi="Times New Roman" w:eastAsia="仿宋_GB2312" w:cs="Times New Roman"/>
          <w:b w:val="0"/>
          <w:bCs w:val="0"/>
          <w:color w:val="000000" w:themeColor="text1"/>
          <w:sz w:val="32"/>
          <w:szCs w:val="32"/>
          <w:lang w:val="en-US" w:eastAsia="zh-CN"/>
        </w:rPr>
        <w:t>杭锦旗人民检察院根据预算绩效管理要求组织对2023年一般公共预算项目支出全面开展绩效自评，其中项目</w:t>
      </w:r>
      <w:r>
        <w:rPr>
          <w:rFonts w:hint="eastAsia" w:eastAsia="仿宋_GB2312" w:cs="Times New Roman"/>
          <w:b w:val="0"/>
          <w:bCs w:val="0"/>
          <w:color w:val="000000" w:themeColor="text1"/>
          <w:sz w:val="32"/>
          <w:szCs w:val="32"/>
          <w:lang w:val="en-US" w:eastAsia="zh-CN"/>
        </w:rPr>
        <w:t>2</w:t>
      </w:r>
      <w:r>
        <w:rPr>
          <w:rFonts w:hint="eastAsia" w:ascii="Times New Roman" w:hAnsi="Times New Roman" w:eastAsia="仿宋_GB2312" w:cs="Times New Roman"/>
          <w:b w:val="0"/>
          <w:bCs w:val="0"/>
          <w:color w:val="000000" w:themeColor="text1"/>
          <w:sz w:val="32"/>
          <w:szCs w:val="32"/>
          <w:lang w:val="en-US" w:eastAsia="zh-CN"/>
        </w:rPr>
        <w:t>个，共涉及资金</w:t>
      </w:r>
      <w:r>
        <w:rPr>
          <w:rFonts w:hint="eastAsia" w:eastAsia="仿宋_GB2312" w:cs="Times New Roman"/>
          <w:b w:val="0"/>
          <w:bCs w:val="0"/>
          <w:color w:val="000000" w:themeColor="text1"/>
          <w:sz w:val="32"/>
          <w:szCs w:val="32"/>
          <w:lang w:val="en-US" w:eastAsia="zh-CN"/>
        </w:rPr>
        <w:t>559</w:t>
      </w:r>
      <w:r>
        <w:rPr>
          <w:rFonts w:hint="eastAsia" w:ascii="Times New Roman" w:hAnsi="Times New Roman" w:eastAsia="仿宋_GB2312" w:cs="Times New Roman"/>
          <w:b w:val="0"/>
          <w:bCs w:val="0"/>
          <w:color w:val="000000" w:themeColor="text1"/>
          <w:sz w:val="32"/>
          <w:szCs w:val="32"/>
          <w:lang w:val="en-US" w:eastAsia="zh-CN"/>
        </w:rPr>
        <w:t>万元，占一般公共预算项目支出总额的100%；政府性基金预算项目</w:t>
      </w:r>
      <w:r>
        <w:rPr>
          <w:rFonts w:hint="eastAsia" w:eastAsia="仿宋_GB2312" w:cs="Times New Roman"/>
          <w:b w:val="0"/>
          <w:bCs w:val="0"/>
          <w:color w:val="000000" w:themeColor="text1"/>
          <w:sz w:val="32"/>
          <w:szCs w:val="32"/>
          <w:lang w:val="en-US" w:eastAsia="zh-CN"/>
        </w:rPr>
        <w:t>0</w:t>
      </w:r>
      <w:r>
        <w:rPr>
          <w:rFonts w:hint="eastAsia" w:ascii="Times New Roman" w:hAnsi="Times New Roman" w:eastAsia="仿宋_GB2312" w:cs="Times New Roman"/>
          <w:b w:val="0"/>
          <w:bCs w:val="0"/>
          <w:color w:val="000000" w:themeColor="text1"/>
          <w:sz w:val="32"/>
          <w:szCs w:val="32"/>
          <w:lang w:val="en-US" w:eastAsia="zh-CN"/>
        </w:rPr>
        <w:t>个，共涉及资金</w:t>
      </w:r>
      <w:r>
        <w:rPr>
          <w:rFonts w:hint="eastAsia" w:eastAsia="仿宋_GB2312" w:cs="Times New Roman"/>
          <w:b w:val="0"/>
          <w:bCs w:val="0"/>
          <w:color w:val="000000" w:themeColor="text1"/>
          <w:sz w:val="32"/>
          <w:szCs w:val="32"/>
          <w:lang w:val="en-US" w:eastAsia="zh-CN"/>
        </w:rPr>
        <w:t>0</w:t>
      </w:r>
      <w:r>
        <w:rPr>
          <w:rFonts w:hint="eastAsia" w:ascii="Times New Roman" w:hAnsi="Times New Roman" w:eastAsia="仿宋_GB2312" w:cs="Times New Roman"/>
          <w:b w:val="0"/>
          <w:bCs w:val="0"/>
          <w:color w:val="000000" w:themeColor="text1"/>
          <w:sz w:val="32"/>
          <w:szCs w:val="32"/>
          <w:lang w:val="en-US" w:eastAsia="zh-CN"/>
        </w:rPr>
        <w:t>万元，占应纳入绩效自评的政府性基金预算项目支出总额的100%</w:t>
      </w:r>
      <w:r>
        <w:rPr>
          <w:rFonts w:hint="eastAsia" w:eastAsia="仿宋_GB2312" w:cs="Times New Roman"/>
          <w:b w:val="0"/>
          <w:bCs w:val="0"/>
          <w:color w:val="000000" w:themeColor="text1"/>
          <w:sz w:val="32"/>
          <w:szCs w:val="32"/>
          <w:lang w:val="en-US" w:eastAsia="zh-CN"/>
        </w:rPr>
        <w:t>。</w:t>
      </w:r>
    </w:p>
    <w:p w14:paraId="393A2F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_GB2312" w:hAnsi="Verdana" w:eastAsia="仿宋_GB2312" w:cs="仿宋_GB2312"/>
          <w:b w:val="0"/>
          <w:bCs w:val="0"/>
          <w:kern w:val="0"/>
          <w:sz w:val="32"/>
          <w:szCs w:val="32"/>
        </w:rPr>
      </w:pPr>
      <w:r>
        <w:rPr>
          <w:rFonts w:hint="eastAsia" w:ascii="Times New Roman" w:hAnsi="Times New Roman" w:eastAsia="仿宋_GB2312" w:cs="Times New Roman"/>
          <w:b w:val="0"/>
          <w:bCs w:val="0"/>
          <w:color w:val="000000" w:themeColor="text1"/>
          <w:sz w:val="32"/>
          <w:szCs w:val="32"/>
          <w:lang w:val="en-US" w:eastAsia="zh-CN"/>
        </w:rPr>
        <w:t> 组织对“办案（业务）经费项目”，根据数量指标、质量指标、时效指标、成本指标、经济效益指标、社会效益指标、服务对象满意度指标等方面开展了部门评价，涉及一般公共预算支出499万元，政府性基金支出</w:t>
      </w:r>
      <w:r>
        <w:rPr>
          <w:rFonts w:hint="default" w:ascii="Times New Roman" w:hAnsi="Times New Roman" w:eastAsia="仿宋_GB2312" w:cs="Times New Roman"/>
          <w:b w:val="0"/>
          <w:bCs w:val="0"/>
          <w:color w:val="000000" w:themeColor="text1"/>
          <w:sz w:val="32"/>
          <w:szCs w:val="32"/>
          <w:lang w:val="en-US" w:eastAsia="zh-CN"/>
        </w:rPr>
        <w:t>0</w:t>
      </w:r>
      <w:r>
        <w:rPr>
          <w:rFonts w:hint="eastAsia" w:ascii="Times New Roman" w:hAnsi="Times New Roman" w:eastAsia="仿宋_GB2312" w:cs="Times New Roman"/>
          <w:b w:val="0"/>
          <w:bCs w:val="0"/>
          <w:color w:val="000000" w:themeColor="text1"/>
          <w:sz w:val="32"/>
          <w:szCs w:val="32"/>
          <w:lang w:val="en-US" w:eastAsia="zh-CN"/>
        </w:rPr>
        <w:t>万元。从评价情况看，以上项目最终绩效评价分值为98.65分。绩效评价等级为“优”。</w:t>
      </w:r>
    </w:p>
    <w:p w14:paraId="4EDBD4CD">
      <w:pPr>
        <w:keepNext w:val="0"/>
        <w:keepLines w:val="0"/>
        <w:pageBreakBefore w:val="0"/>
        <w:widowControl/>
        <w:kinsoku/>
        <w:wordWrap/>
        <w:overflowPunct/>
        <w:topLinePunct w:val="0"/>
        <w:autoSpaceDE/>
        <w:autoSpaceDN/>
        <w:bidi w:val="0"/>
        <w:spacing w:beforeAutospacing="0" w:afterAutospacing="0" w:line="560" w:lineRule="exact"/>
        <w:jc w:val="left"/>
        <w:textAlignment w:val="auto"/>
        <w:rPr>
          <w:rFonts w:ascii="Times New Roman" w:hAnsi="Times New Roman" w:eastAsia="Times New Roman" w:cs="Times New Roman"/>
          <w:kern w:val="0"/>
          <w:sz w:val="24"/>
        </w:rPr>
      </w:pPr>
      <w:r>
        <w:rPr>
          <w:rFonts w:ascii="kai_ti_gb2312" w:hAnsi="kai_ti_gb2312" w:eastAsia="kai_ti_gb2312" w:cs="kai_ti_gb2312"/>
          <w:b/>
          <w:bCs/>
          <w:kern w:val="0"/>
          <w:sz w:val="27"/>
          <w:szCs w:val="27"/>
        </w:rPr>
        <w:t xml:space="preserve">    </w:t>
      </w:r>
      <w:r>
        <w:rPr>
          <w:rFonts w:hint="eastAsia" w:ascii="楷体_GB2312" w:hAnsi="宋体" w:eastAsia="楷体_GB2312" w:cs="楷体_GB2312"/>
          <w:kern w:val="0"/>
          <w:sz w:val="32"/>
          <w:szCs w:val="32"/>
          <w:lang w:bidi="ar"/>
        </w:rPr>
        <w:t>（二）部门决算中项目绩效自评结果。</w:t>
      </w:r>
    </w:p>
    <w:p w14:paraId="78E76967">
      <w:pPr>
        <w:keepNext w:val="0"/>
        <w:keepLines w:val="0"/>
        <w:pageBreakBefore w:val="0"/>
        <w:widowControl/>
        <w:kinsoku/>
        <w:wordWrap/>
        <w:overflowPunct/>
        <w:topLinePunct w:val="0"/>
        <w:autoSpaceDE/>
        <w:autoSpaceDN/>
        <w:bidi w:val="0"/>
        <w:spacing w:beforeAutospacing="0" w:afterAutospacing="0" w:line="560" w:lineRule="exact"/>
        <w:textAlignment w:val="auto"/>
        <w:rPr>
          <w:rFonts w:hint="eastAsia" w:ascii="Times New Roman" w:hAnsi="Times New Roman" w:eastAsia="仿宋_GB2312" w:cs="Times New Roman"/>
          <w:b w:val="0"/>
          <w:bCs w:val="0"/>
          <w:color w:val="000000" w:themeColor="text1"/>
          <w:sz w:val="32"/>
          <w:szCs w:val="32"/>
          <w:lang w:val="en-US" w:eastAsia="zh-CN"/>
        </w:rPr>
      </w:pPr>
      <w:r>
        <w:rPr>
          <w:rFonts w:ascii="fang_song_gb2312" w:hAnsi="fang_song_gb2312" w:eastAsia="fang_song_gb2312" w:cs="fang_song_gb2312"/>
          <w:kern w:val="0"/>
          <w:sz w:val="27"/>
          <w:szCs w:val="27"/>
        </w:rPr>
        <w:t xml:space="preserve">    </w:t>
      </w:r>
      <w:r>
        <w:rPr>
          <w:rFonts w:hint="eastAsia" w:ascii="Times New Roman" w:hAnsi="Times New Roman" w:eastAsia="仿宋_GB2312" w:cs="Times New Roman"/>
          <w:b w:val="0"/>
          <w:bCs w:val="0"/>
          <w:color w:val="000000" w:themeColor="text1"/>
          <w:sz w:val="32"/>
          <w:szCs w:val="32"/>
          <w:lang w:val="en-US" w:eastAsia="zh-CN"/>
        </w:rPr>
        <w:t>杭锦旗人民检察院 2023年度在决算中反映</w:t>
      </w:r>
      <w:r>
        <w:rPr>
          <w:rFonts w:hint="eastAsia" w:eastAsia="仿宋_GB2312" w:cs="Times New Roman"/>
          <w:b w:val="0"/>
          <w:bCs w:val="0"/>
          <w:color w:val="000000" w:themeColor="text1"/>
          <w:sz w:val="32"/>
          <w:szCs w:val="32"/>
          <w:lang w:val="en-US" w:eastAsia="zh-CN"/>
        </w:rPr>
        <w:t>2</w:t>
      </w:r>
      <w:r>
        <w:rPr>
          <w:rFonts w:hint="eastAsia" w:ascii="Times New Roman" w:hAnsi="Times New Roman" w:eastAsia="仿宋_GB2312" w:cs="Times New Roman"/>
          <w:b w:val="0"/>
          <w:bCs w:val="0"/>
          <w:color w:val="000000" w:themeColor="text1"/>
          <w:sz w:val="32"/>
          <w:szCs w:val="32"/>
          <w:lang w:val="en-US" w:eastAsia="zh-CN"/>
        </w:rPr>
        <w:t>个一般公共预算项目，以及</w:t>
      </w:r>
      <w:r>
        <w:rPr>
          <w:rFonts w:hint="eastAsia" w:eastAsia="仿宋_GB2312" w:cs="Times New Roman"/>
          <w:b w:val="0"/>
          <w:bCs w:val="0"/>
          <w:color w:val="000000" w:themeColor="text1"/>
          <w:sz w:val="32"/>
          <w:szCs w:val="32"/>
          <w:lang w:val="en-US" w:eastAsia="zh-CN"/>
        </w:rPr>
        <w:t>0</w:t>
      </w:r>
      <w:r>
        <w:rPr>
          <w:rFonts w:hint="eastAsia" w:ascii="Times New Roman" w:hAnsi="Times New Roman" w:eastAsia="仿宋_GB2312" w:cs="Times New Roman"/>
          <w:b w:val="0"/>
          <w:bCs w:val="0"/>
          <w:color w:val="000000" w:themeColor="text1"/>
          <w:sz w:val="32"/>
          <w:szCs w:val="32"/>
          <w:lang w:val="en-US" w:eastAsia="zh-CN"/>
        </w:rPr>
        <w:t>个政府性基金项目</w:t>
      </w:r>
      <w:r>
        <w:rPr>
          <w:rFonts w:hint="eastAsia" w:eastAsia="仿宋_GB2312" w:cs="Times New Roman"/>
          <w:b w:val="0"/>
          <w:bCs w:val="0"/>
          <w:color w:val="000000" w:themeColor="text1"/>
          <w:sz w:val="32"/>
          <w:szCs w:val="32"/>
          <w:lang w:val="en-US" w:eastAsia="zh-CN"/>
        </w:rPr>
        <w:t>，</w:t>
      </w:r>
      <w:r>
        <w:rPr>
          <w:rFonts w:hint="eastAsia" w:ascii="Times New Roman" w:hAnsi="Times New Roman" w:eastAsia="仿宋_GB2312" w:cs="Times New Roman"/>
          <w:b w:val="0"/>
          <w:bCs w:val="0"/>
          <w:color w:val="000000" w:themeColor="text1"/>
          <w:sz w:val="32"/>
          <w:szCs w:val="32"/>
          <w:lang w:val="en-US" w:eastAsia="zh-CN"/>
        </w:rPr>
        <w:t>共</w:t>
      </w:r>
      <w:r>
        <w:rPr>
          <w:rFonts w:hint="eastAsia" w:eastAsia="仿宋_GB2312" w:cs="Times New Roman"/>
          <w:b w:val="0"/>
          <w:bCs w:val="0"/>
          <w:color w:val="000000" w:themeColor="text1"/>
          <w:sz w:val="32"/>
          <w:szCs w:val="32"/>
          <w:lang w:val="en-US" w:eastAsia="zh-CN"/>
        </w:rPr>
        <w:t>2</w:t>
      </w:r>
      <w:r>
        <w:rPr>
          <w:rFonts w:hint="eastAsia" w:ascii="Times New Roman" w:hAnsi="Times New Roman" w:eastAsia="仿宋_GB2312" w:cs="Times New Roman"/>
          <w:b w:val="0"/>
          <w:bCs w:val="0"/>
          <w:color w:val="000000" w:themeColor="text1"/>
          <w:sz w:val="32"/>
          <w:szCs w:val="32"/>
          <w:lang w:val="en-US" w:eastAsia="zh-CN"/>
        </w:rPr>
        <w:t>个项目的绩效自评结果。</w:t>
      </w:r>
    </w:p>
    <w:p w14:paraId="3F0618B2">
      <w:pPr>
        <w:keepNext w:val="0"/>
        <w:keepLines w:val="0"/>
        <w:pageBreakBefore w:val="0"/>
        <w:widowControl/>
        <w:kinsoku/>
        <w:wordWrap/>
        <w:overflowPunct/>
        <w:topLinePunct w:val="0"/>
        <w:autoSpaceDE/>
        <w:autoSpaceDN/>
        <w:bidi w:val="0"/>
        <w:spacing w:beforeAutospacing="0" w:afterAutospacing="0" w:line="560" w:lineRule="exact"/>
        <w:ind w:firstLine="640" w:firstLineChars="200"/>
        <w:textAlignment w:val="auto"/>
        <w:rPr>
          <w:rFonts w:hint="eastAsia" w:ascii="Times New Roman" w:hAnsi="Times New Roman" w:eastAsia="仿宋_GB2312" w:cs="Times New Roman"/>
          <w:b w:val="0"/>
          <w:bCs w:val="0"/>
          <w:color w:val="000000" w:themeColor="text1"/>
          <w:sz w:val="32"/>
          <w:szCs w:val="32"/>
          <w:lang w:val="en-US" w:eastAsia="zh-CN"/>
        </w:rPr>
      </w:pPr>
      <w:r>
        <w:rPr>
          <w:rFonts w:hint="eastAsia" w:ascii="Times New Roman" w:hAnsi="Times New Roman" w:eastAsia="仿宋_GB2312" w:cs="Times New Roman"/>
          <w:b w:val="0"/>
          <w:bCs w:val="0"/>
          <w:color w:val="000000" w:themeColor="text1"/>
          <w:sz w:val="32"/>
          <w:szCs w:val="32"/>
          <w:lang w:val="en-US" w:eastAsia="zh-CN"/>
        </w:rPr>
        <w:t>1.办案业务费项目自评综述：根据年初设定的绩效目标，项目自评得分98.65分。全年预算数为499万元，执行数为499万元，完成预算的100%。项目绩效目标完成情况：2023年我院办理一审公诉案件数量为269件，办理立案监督数为11件，委托印刷服务次数为7次，公务用车维护数量为9辆，维修设备合格率为100%，购买办公用品验收合格率为100%，法定审限内结案率为100%，资金支付及时率为100%，</w:t>
      </w:r>
      <w:r>
        <w:rPr>
          <w:rFonts w:hint="eastAsia" w:eastAsia="仿宋_GB2312" w:cs="Times New Roman"/>
          <w:b w:val="0"/>
          <w:bCs w:val="0"/>
          <w:color w:val="000000" w:themeColor="text1"/>
          <w:sz w:val="32"/>
          <w:szCs w:val="32"/>
          <w:lang w:val="en-US" w:eastAsia="zh-CN"/>
        </w:rPr>
        <w:t>满意度95.24%，</w:t>
      </w:r>
      <w:r>
        <w:rPr>
          <w:rFonts w:hint="eastAsia" w:ascii="Times New Roman" w:hAnsi="Times New Roman" w:eastAsia="仿宋_GB2312" w:cs="Times New Roman"/>
          <w:b w:val="0"/>
          <w:bCs w:val="0"/>
          <w:color w:val="000000" w:themeColor="text1"/>
          <w:sz w:val="32"/>
          <w:szCs w:val="32"/>
          <w:lang w:val="en-US" w:eastAsia="zh-CN"/>
        </w:rPr>
        <w:t>资金支出不存在超支现象，达到预期指标值。发现的主要问题及原因：预算编制时，部分指标由于分配随意性大，难以细化到具体部门、单位使用情况，导致在执行时与年初预算略有偏差。下一步改进措施：加强预算编制的科学性和前瞻性，完善预算内容，提高财务管理人员的业务水平，以及优化预算执行过程的管理等。</w:t>
      </w:r>
    </w:p>
    <w:p w14:paraId="4B461666">
      <w:pPr>
        <w:keepNext w:val="0"/>
        <w:keepLines w:val="0"/>
        <w:pageBreakBefore w:val="0"/>
        <w:widowControl/>
        <w:kinsoku/>
        <w:wordWrap/>
        <w:overflowPunct/>
        <w:topLinePunct w:val="0"/>
        <w:autoSpaceDE/>
        <w:autoSpaceDN/>
        <w:bidi w:val="0"/>
        <w:spacing w:beforeAutospacing="0" w:afterAutospacing="0" w:line="560" w:lineRule="exact"/>
        <w:ind w:firstLine="640" w:firstLineChars="200"/>
        <w:textAlignment w:val="auto"/>
        <w:rPr>
          <w:rFonts w:hint="eastAsia" w:ascii="Times New Roman" w:hAnsi="Times New Roman" w:eastAsia="仿宋_GB2312" w:cs="Times New Roman"/>
          <w:b w:val="0"/>
          <w:bCs w:val="0"/>
          <w:color w:val="000000" w:themeColor="text1"/>
          <w:sz w:val="32"/>
          <w:szCs w:val="32"/>
          <w:lang w:val="en-US" w:eastAsia="zh-CN"/>
        </w:rPr>
      </w:pPr>
      <w:r>
        <w:rPr>
          <w:rFonts w:hint="eastAsia" w:ascii="Times New Roman" w:hAnsi="Times New Roman" w:eastAsia="仿宋_GB2312" w:cs="Times New Roman"/>
          <w:b w:val="0"/>
          <w:bCs w:val="0"/>
          <w:color w:val="000000" w:themeColor="text1"/>
          <w:sz w:val="32"/>
          <w:szCs w:val="32"/>
          <w:lang w:val="en-US" w:eastAsia="zh-CN"/>
        </w:rPr>
        <w:t>2.业务装备费项目自评综述：根据年初设定的绩效目标，项目自评得分99.18分。全年预算数为60万元，执行数为60万元，完成预算的100%。项目绩效目标完成情况：全年实际购置设备数量为95台，安装工程验收合格率为100%，购置设备质量合格率为100%，故障发生率为0%，采购办公设备及时率为100%，资金支出不存在超支现象，满意度97.96%。发现的主要问题及原因：我院经费支出建立了严格的审批权限制度，严格执行审批手续，按照有关规定进行开支。对擅自扩大开支范围、提高开支标准、违反财经纪律的开支，财务部门按规定拒绝办理，并及时报告主管部门和领导，资金管理使用通过自查未发现问题。下一步改进措施：我院</w:t>
      </w:r>
      <w:r>
        <w:rPr>
          <w:rFonts w:hint="default" w:ascii="Times New Roman" w:hAnsi="Times New Roman" w:eastAsia="仿宋_GB2312" w:cs="Times New Roman"/>
          <w:b w:val="0"/>
          <w:bCs w:val="0"/>
          <w:color w:val="000000" w:themeColor="text1"/>
          <w:sz w:val="32"/>
          <w:szCs w:val="32"/>
          <w:lang w:val="en-US" w:eastAsia="zh-CN"/>
        </w:rPr>
        <w:t>组织专业技术人员对新购置的设备进行安装，确保设备正确、安全地部署在指定位置。进行设备的调试工作，确保设备各项功能正常运行，满足检察院的工作需求。安排设备供应商或专业技术人员对检察院工作人员进行设备使用培训，确保工作人员能够熟练掌握设备的操作方法和维护技能。制定设备的日常维护和保养计划，明确维护保养的责任人、时间和内容。根据检察院的工作需求和实际情况，制定设备更新和升级计划，逐步淘汰老旧设备，引入新设备和技术。加强与设备供应商的合作与交流，共同推动设备的更新和升级工作</w:t>
      </w:r>
      <w:r>
        <w:rPr>
          <w:rFonts w:hint="eastAsia" w:ascii="Times New Roman" w:hAnsi="Times New Roman" w:eastAsia="仿宋_GB2312" w:cs="Times New Roman"/>
          <w:b w:val="0"/>
          <w:bCs w:val="0"/>
          <w:color w:val="000000" w:themeColor="text1"/>
          <w:sz w:val="32"/>
          <w:szCs w:val="32"/>
          <w:lang w:val="en-US" w:eastAsia="zh-CN"/>
        </w:rPr>
        <w:t>。</w:t>
      </w:r>
    </w:p>
    <w:p w14:paraId="3380A583">
      <w:pPr>
        <w:keepNext w:val="0"/>
        <w:keepLines w:val="0"/>
        <w:pageBreakBefore w:val="0"/>
        <w:widowControl/>
        <w:kinsoku/>
        <w:wordWrap/>
        <w:overflowPunct/>
        <w:topLinePunct w:val="0"/>
        <w:autoSpaceDE/>
        <w:autoSpaceDN/>
        <w:bidi w:val="0"/>
        <w:spacing w:beforeAutospacing="0" w:afterAutospacing="0" w:line="560" w:lineRule="exact"/>
        <w:ind w:firstLine="640" w:firstLineChars="200"/>
        <w:textAlignment w:val="auto"/>
        <w:rPr>
          <w:rFonts w:hint="eastAsia" w:ascii="Times New Roman" w:hAnsi="Times New Roman" w:eastAsia="仿宋_GB2312" w:cs="Times New Roman"/>
          <w:b w:val="0"/>
          <w:bCs w:val="0"/>
          <w:color w:val="000000" w:themeColor="text1"/>
          <w:sz w:val="32"/>
          <w:szCs w:val="32"/>
          <w:lang w:val="en-US" w:eastAsia="zh-CN"/>
        </w:rPr>
      </w:pPr>
    </w:p>
    <w:tbl>
      <w:tblPr>
        <w:tblStyle w:val="22"/>
        <w:tblW w:w="10410" w:type="dxa"/>
        <w:tblInd w:w="-7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05"/>
        <w:gridCol w:w="615"/>
        <w:gridCol w:w="705"/>
        <w:gridCol w:w="1263"/>
        <w:gridCol w:w="619"/>
        <w:gridCol w:w="619"/>
        <w:gridCol w:w="1151"/>
        <w:gridCol w:w="1049"/>
        <w:gridCol w:w="754"/>
        <w:gridCol w:w="486"/>
        <w:gridCol w:w="666"/>
        <w:gridCol w:w="1478"/>
      </w:tblGrid>
      <w:tr w14:paraId="0F57A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041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2B7FCFD9">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项目支出绩效自评表</w:t>
            </w:r>
            <w:r>
              <w:rPr>
                <w:rFonts w:hint="eastAsia" w:ascii="宋体" w:hAnsi="宋体" w:eastAsia="宋体" w:cs="宋体"/>
                <w:b/>
                <w:bCs/>
                <w:i w:val="0"/>
                <w:iCs w:val="0"/>
                <w:color w:val="000000"/>
                <w:kern w:val="0"/>
                <w:sz w:val="40"/>
                <w:szCs w:val="40"/>
                <w:u w:val="none"/>
                <w:lang w:val="en-US" w:eastAsia="zh-CN" w:bidi="ar"/>
              </w:rPr>
              <w:br w:type="textWrapping"/>
            </w:r>
            <w:r>
              <w:rPr>
                <w:rFonts w:hint="eastAsia" w:ascii="宋体" w:hAnsi="宋体" w:eastAsia="宋体" w:cs="宋体"/>
                <w:b/>
                <w:bCs/>
                <w:i w:val="0"/>
                <w:iCs w:val="0"/>
                <w:color w:val="000000"/>
                <w:kern w:val="0"/>
                <w:sz w:val="40"/>
                <w:szCs w:val="40"/>
                <w:u w:val="none"/>
                <w:lang w:val="en-US" w:eastAsia="zh-CN" w:bidi="ar"/>
              </w:rPr>
              <w:t>(2023年度）</w:t>
            </w:r>
          </w:p>
        </w:tc>
      </w:tr>
      <w:tr w14:paraId="46A40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0E3D7F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879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8E8DF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办案（业务）经费</w:t>
            </w:r>
          </w:p>
        </w:tc>
      </w:tr>
      <w:tr w14:paraId="78A68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62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02441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320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172DBA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杭锦旗人民检察院部门</w:t>
            </w:r>
          </w:p>
        </w:tc>
        <w:tc>
          <w:tcPr>
            <w:tcW w:w="2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F2548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3384"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CE01D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杭锦旗人民检察院</w:t>
            </w:r>
          </w:p>
        </w:tc>
      </w:tr>
      <w:tr w14:paraId="4CE11C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6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11F7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19295B">
            <w:pPr>
              <w:rPr>
                <w:rFonts w:hint="eastAsia" w:ascii="宋体" w:hAnsi="宋体" w:eastAsia="宋体" w:cs="宋体"/>
                <w:i w:val="0"/>
                <w:iCs w:val="0"/>
                <w:color w:val="000000"/>
                <w:sz w:val="18"/>
                <w:szCs w:val="18"/>
                <w:u w:val="none"/>
              </w:rPr>
            </w:pP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72F9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2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9180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2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47645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D9C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88F0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D40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322A2D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6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021E77">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50A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D180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499</w:t>
            </w:r>
          </w:p>
        </w:tc>
        <w:tc>
          <w:tcPr>
            <w:tcW w:w="12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3A95B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499</w:t>
            </w:r>
          </w:p>
        </w:tc>
        <w:tc>
          <w:tcPr>
            <w:tcW w:w="2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4E39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499</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0E60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EB9A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3D5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0DDCA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6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3E103">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DF7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ADA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499</w:t>
            </w:r>
          </w:p>
        </w:tc>
        <w:tc>
          <w:tcPr>
            <w:tcW w:w="12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D49E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499</w:t>
            </w:r>
          </w:p>
        </w:tc>
        <w:tc>
          <w:tcPr>
            <w:tcW w:w="2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B1CA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499</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63EAB1">
            <w:pPr>
              <w:keepNext w:val="0"/>
              <w:keepLines w:val="0"/>
              <w:widowControl/>
              <w:suppressLineNumbers w:val="0"/>
              <w:jc w:val="center"/>
              <w:textAlignment w:val="center"/>
              <w:rPr>
                <w:rFonts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F7DF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CF6C48">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0F3C8D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6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834B45">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DFA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上年结转资金</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C66A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3B69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C065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DF8F2">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4BB1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5BA714">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3AC11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6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34F413">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7B2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FC0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160A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2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47BB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75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1CCDD">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11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7341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47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B4DC5">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5BF3B3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62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29D78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43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39599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44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CC09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3362B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0" w:hRule="atLeast"/>
        </w:trPr>
        <w:tc>
          <w:tcPr>
            <w:tcW w:w="162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50D7E">
            <w:pPr>
              <w:jc w:val="center"/>
              <w:rPr>
                <w:rFonts w:hint="eastAsia" w:ascii="宋体" w:hAnsi="宋体" w:eastAsia="宋体" w:cs="宋体"/>
                <w:i w:val="0"/>
                <w:iCs w:val="0"/>
                <w:color w:val="000000"/>
                <w:sz w:val="18"/>
                <w:szCs w:val="18"/>
                <w:u w:val="none"/>
              </w:rPr>
            </w:pPr>
          </w:p>
        </w:tc>
        <w:tc>
          <w:tcPr>
            <w:tcW w:w="435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0FC4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1.保障差旅费、侦缉调查费、协助办案费、业务装备消耗费、业务租赁费、业务维修费、交通费、培训费等支出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2.加强法律监督等职能。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3.增加年度案件办理数量、减短案件办理时限、提升案件当事人满意度。</w:t>
            </w:r>
          </w:p>
        </w:tc>
        <w:tc>
          <w:tcPr>
            <w:tcW w:w="443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1EDE74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2023年全年支出499万元，主要用于办公费、印刷费、取暖费、委托业务费等，全年办理一审公诉案件数量269件，质量基本达标，在规定的时间内及时完成任务，提升办案效率和质量。</w:t>
            </w:r>
          </w:p>
        </w:tc>
      </w:tr>
      <w:tr w14:paraId="0993D9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0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A49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6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42F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2B0A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2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68AF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DA85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6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A47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指标方向</w:t>
            </w:r>
          </w:p>
        </w:tc>
        <w:tc>
          <w:tcPr>
            <w:tcW w:w="11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48F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B891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40C6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547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9DEA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5E7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14:paraId="4F769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05" w:type="dxa"/>
            <w:vMerge w:val="restart"/>
            <w:tcBorders>
              <w:top w:val="single" w:color="000000" w:sz="4" w:space="0"/>
              <w:left w:val="single" w:color="000000" w:sz="4" w:space="0"/>
              <w:bottom w:val="nil"/>
              <w:right w:val="single" w:color="000000" w:sz="4" w:space="0"/>
            </w:tcBorders>
            <w:shd w:val="clear" w:color="auto" w:fill="auto"/>
            <w:vAlign w:val="center"/>
          </w:tcPr>
          <w:p w14:paraId="164485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615" w:type="dxa"/>
            <w:vMerge w:val="restart"/>
            <w:tcBorders>
              <w:top w:val="single" w:color="000000" w:sz="4" w:space="0"/>
              <w:left w:val="single" w:color="000000" w:sz="4" w:space="0"/>
              <w:bottom w:val="nil"/>
              <w:right w:val="single" w:color="000000" w:sz="4" w:space="0"/>
            </w:tcBorders>
            <w:shd w:val="clear" w:color="auto" w:fill="auto"/>
            <w:vAlign w:val="center"/>
          </w:tcPr>
          <w:p w14:paraId="15E689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705" w:type="dxa"/>
            <w:vMerge w:val="restart"/>
            <w:tcBorders>
              <w:top w:val="single" w:color="000000" w:sz="4" w:space="0"/>
              <w:left w:val="single" w:color="000000" w:sz="4" w:space="0"/>
              <w:bottom w:val="nil"/>
              <w:right w:val="single" w:color="000000" w:sz="4" w:space="0"/>
            </w:tcBorders>
            <w:shd w:val="clear" w:color="auto" w:fill="auto"/>
            <w:vAlign w:val="center"/>
          </w:tcPr>
          <w:p w14:paraId="1F6CC1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263" w:type="dxa"/>
            <w:tcBorders>
              <w:top w:val="single" w:color="000000" w:sz="4" w:space="0"/>
              <w:left w:val="single" w:color="000000" w:sz="4" w:space="0"/>
              <w:bottom w:val="nil"/>
              <w:right w:val="single" w:color="000000" w:sz="4" w:space="0"/>
            </w:tcBorders>
            <w:shd w:val="clear" w:color="auto" w:fill="auto"/>
            <w:vAlign w:val="center"/>
          </w:tcPr>
          <w:p w14:paraId="327978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办理一审公诉案件数量</w:t>
            </w:r>
          </w:p>
        </w:tc>
        <w:tc>
          <w:tcPr>
            <w:tcW w:w="619" w:type="dxa"/>
            <w:tcBorders>
              <w:top w:val="single" w:color="000000" w:sz="4" w:space="0"/>
              <w:left w:val="single" w:color="000000" w:sz="4" w:space="0"/>
              <w:bottom w:val="nil"/>
              <w:right w:val="single" w:color="000000" w:sz="4" w:space="0"/>
            </w:tcBorders>
            <w:shd w:val="clear" w:color="auto" w:fill="auto"/>
            <w:vAlign w:val="center"/>
          </w:tcPr>
          <w:p w14:paraId="1D1567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619" w:type="dxa"/>
            <w:tcBorders>
              <w:top w:val="single" w:color="000000" w:sz="4" w:space="0"/>
              <w:left w:val="single" w:color="000000" w:sz="4" w:space="0"/>
              <w:bottom w:val="nil"/>
              <w:right w:val="single" w:color="000000" w:sz="4" w:space="0"/>
            </w:tcBorders>
            <w:shd w:val="clear" w:color="auto" w:fill="auto"/>
            <w:vAlign w:val="center"/>
          </w:tcPr>
          <w:p w14:paraId="0812F3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1151" w:type="dxa"/>
            <w:tcBorders>
              <w:top w:val="single" w:color="000000" w:sz="4" w:space="0"/>
              <w:left w:val="single" w:color="000000" w:sz="4" w:space="0"/>
              <w:bottom w:val="nil"/>
              <w:right w:val="single" w:color="000000" w:sz="4" w:space="0"/>
            </w:tcBorders>
            <w:shd w:val="clear" w:color="auto" w:fill="auto"/>
            <w:vAlign w:val="center"/>
          </w:tcPr>
          <w:p w14:paraId="1460FB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w:t>
            </w:r>
          </w:p>
        </w:tc>
        <w:tc>
          <w:tcPr>
            <w:tcW w:w="1049" w:type="dxa"/>
            <w:tcBorders>
              <w:top w:val="single" w:color="000000" w:sz="4" w:space="0"/>
              <w:left w:val="single" w:color="000000" w:sz="4" w:space="0"/>
              <w:bottom w:val="nil"/>
              <w:right w:val="single" w:color="000000" w:sz="4" w:space="0"/>
            </w:tcBorders>
            <w:shd w:val="clear" w:color="auto" w:fill="auto"/>
            <w:vAlign w:val="center"/>
          </w:tcPr>
          <w:p w14:paraId="74ECFA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269</w:t>
            </w:r>
          </w:p>
        </w:tc>
        <w:tc>
          <w:tcPr>
            <w:tcW w:w="754" w:type="dxa"/>
            <w:tcBorders>
              <w:top w:val="single" w:color="000000" w:sz="4" w:space="0"/>
              <w:left w:val="single" w:color="000000" w:sz="4" w:space="0"/>
              <w:bottom w:val="nil"/>
              <w:right w:val="single" w:color="000000" w:sz="4" w:space="0"/>
            </w:tcBorders>
            <w:shd w:val="clear" w:color="auto" w:fill="auto"/>
            <w:vAlign w:val="center"/>
          </w:tcPr>
          <w:p w14:paraId="1843D9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486" w:type="dxa"/>
            <w:tcBorders>
              <w:top w:val="single" w:color="000000" w:sz="4" w:space="0"/>
              <w:left w:val="single" w:color="000000" w:sz="4" w:space="0"/>
              <w:bottom w:val="nil"/>
              <w:right w:val="single" w:color="000000" w:sz="4" w:space="0"/>
            </w:tcBorders>
            <w:shd w:val="clear" w:color="auto" w:fill="auto"/>
            <w:vAlign w:val="center"/>
          </w:tcPr>
          <w:p w14:paraId="5EA51D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66" w:type="dxa"/>
            <w:tcBorders>
              <w:top w:val="single" w:color="000000" w:sz="4" w:space="0"/>
              <w:left w:val="single" w:color="000000" w:sz="4" w:space="0"/>
              <w:bottom w:val="nil"/>
              <w:right w:val="single" w:color="000000" w:sz="4" w:space="0"/>
            </w:tcBorders>
            <w:shd w:val="clear" w:color="auto" w:fill="auto"/>
            <w:vAlign w:val="center"/>
          </w:tcPr>
          <w:p w14:paraId="3BC317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478" w:type="dxa"/>
            <w:tcBorders>
              <w:top w:val="single" w:color="000000" w:sz="4" w:space="0"/>
              <w:left w:val="single" w:color="000000" w:sz="4" w:space="0"/>
              <w:bottom w:val="nil"/>
              <w:right w:val="single" w:color="000000" w:sz="4" w:space="0"/>
            </w:tcBorders>
            <w:shd w:val="clear" w:color="auto" w:fill="auto"/>
            <w:vAlign w:val="center"/>
          </w:tcPr>
          <w:p w14:paraId="1403AE53">
            <w:pPr>
              <w:jc w:val="center"/>
              <w:rPr>
                <w:rFonts w:hint="eastAsia" w:ascii="宋体" w:hAnsi="宋体" w:eastAsia="宋体" w:cs="宋体"/>
                <w:i w:val="0"/>
                <w:iCs w:val="0"/>
                <w:color w:val="000000"/>
                <w:sz w:val="18"/>
                <w:szCs w:val="18"/>
                <w:u w:val="none"/>
              </w:rPr>
            </w:pPr>
          </w:p>
        </w:tc>
      </w:tr>
      <w:tr w14:paraId="477979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05" w:type="dxa"/>
            <w:vMerge w:val="continue"/>
            <w:tcBorders>
              <w:top w:val="single" w:color="000000" w:sz="4" w:space="0"/>
              <w:left w:val="single" w:color="000000" w:sz="4" w:space="0"/>
              <w:bottom w:val="nil"/>
              <w:right w:val="single" w:color="000000" w:sz="4" w:space="0"/>
            </w:tcBorders>
            <w:shd w:val="clear" w:color="auto" w:fill="auto"/>
            <w:vAlign w:val="center"/>
          </w:tcPr>
          <w:p w14:paraId="4FDDBF1E">
            <w:pPr>
              <w:jc w:val="center"/>
              <w:rPr>
                <w:rFonts w:hint="eastAsia" w:ascii="宋体" w:hAnsi="宋体" w:eastAsia="宋体" w:cs="宋体"/>
                <w:i w:val="0"/>
                <w:iCs w:val="0"/>
                <w:color w:val="000000"/>
                <w:sz w:val="18"/>
                <w:szCs w:val="18"/>
                <w:u w:val="none"/>
              </w:rPr>
            </w:pPr>
          </w:p>
        </w:tc>
        <w:tc>
          <w:tcPr>
            <w:tcW w:w="615" w:type="dxa"/>
            <w:vMerge w:val="continue"/>
            <w:tcBorders>
              <w:top w:val="single" w:color="000000" w:sz="4" w:space="0"/>
              <w:left w:val="single" w:color="000000" w:sz="4" w:space="0"/>
              <w:bottom w:val="nil"/>
              <w:right w:val="single" w:color="000000" w:sz="4" w:space="0"/>
            </w:tcBorders>
            <w:shd w:val="clear" w:color="auto" w:fill="auto"/>
            <w:vAlign w:val="center"/>
          </w:tcPr>
          <w:p w14:paraId="78A8F3F2">
            <w:pPr>
              <w:jc w:val="center"/>
              <w:rPr>
                <w:rFonts w:hint="eastAsia" w:ascii="宋体" w:hAnsi="宋体" w:eastAsia="宋体" w:cs="宋体"/>
                <w:i w:val="0"/>
                <w:iCs w:val="0"/>
                <w:color w:val="000000"/>
                <w:sz w:val="18"/>
                <w:szCs w:val="18"/>
                <w:u w:val="none"/>
              </w:rPr>
            </w:pPr>
          </w:p>
        </w:tc>
        <w:tc>
          <w:tcPr>
            <w:tcW w:w="705" w:type="dxa"/>
            <w:vMerge w:val="continue"/>
            <w:tcBorders>
              <w:top w:val="single" w:color="000000" w:sz="4" w:space="0"/>
              <w:left w:val="single" w:color="000000" w:sz="4" w:space="0"/>
              <w:bottom w:val="nil"/>
              <w:right w:val="single" w:color="000000" w:sz="4" w:space="0"/>
            </w:tcBorders>
            <w:shd w:val="clear" w:color="auto" w:fill="auto"/>
            <w:vAlign w:val="center"/>
          </w:tcPr>
          <w:p w14:paraId="34319986">
            <w:pPr>
              <w:jc w:val="center"/>
              <w:rPr>
                <w:rFonts w:hint="eastAsia" w:ascii="宋体" w:hAnsi="宋体" w:eastAsia="宋体" w:cs="宋体"/>
                <w:i w:val="0"/>
                <w:iCs w:val="0"/>
                <w:color w:val="000000"/>
                <w:sz w:val="18"/>
                <w:szCs w:val="18"/>
                <w:u w:val="none"/>
              </w:rPr>
            </w:pPr>
          </w:p>
        </w:tc>
        <w:tc>
          <w:tcPr>
            <w:tcW w:w="1263" w:type="dxa"/>
            <w:tcBorders>
              <w:top w:val="single" w:color="000000" w:sz="4" w:space="0"/>
              <w:left w:val="single" w:color="000000" w:sz="4" w:space="0"/>
              <w:bottom w:val="nil"/>
              <w:right w:val="single" w:color="000000" w:sz="4" w:space="0"/>
            </w:tcBorders>
            <w:shd w:val="clear" w:color="auto" w:fill="auto"/>
            <w:vAlign w:val="center"/>
          </w:tcPr>
          <w:p w14:paraId="37B23D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办理立案监督数量</w:t>
            </w:r>
          </w:p>
        </w:tc>
        <w:tc>
          <w:tcPr>
            <w:tcW w:w="619" w:type="dxa"/>
            <w:tcBorders>
              <w:top w:val="single" w:color="000000" w:sz="4" w:space="0"/>
              <w:left w:val="single" w:color="000000" w:sz="4" w:space="0"/>
              <w:bottom w:val="nil"/>
              <w:right w:val="single" w:color="000000" w:sz="4" w:space="0"/>
            </w:tcBorders>
            <w:shd w:val="clear" w:color="auto" w:fill="auto"/>
            <w:vAlign w:val="center"/>
          </w:tcPr>
          <w:p w14:paraId="3914B6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619" w:type="dxa"/>
            <w:tcBorders>
              <w:top w:val="single" w:color="000000" w:sz="4" w:space="0"/>
              <w:left w:val="single" w:color="000000" w:sz="4" w:space="0"/>
              <w:bottom w:val="nil"/>
              <w:right w:val="single" w:color="000000" w:sz="4" w:space="0"/>
            </w:tcBorders>
            <w:shd w:val="clear" w:color="auto" w:fill="auto"/>
            <w:vAlign w:val="center"/>
          </w:tcPr>
          <w:p w14:paraId="759692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1151" w:type="dxa"/>
            <w:tcBorders>
              <w:top w:val="single" w:color="000000" w:sz="4" w:space="0"/>
              <w:left w:val="single" w:color="000000" w:sz="4" w:space="0"/>
              <w:bottom w:val="nil"/>
              <w:right w:val="single" w:color="000000" w:sz="4" w:space="0"/>
            </w:tcBorders>
            <w:shd w:val="clear" w:color="auto" w:fill="auto"/>
            <w:vAlign w:val="center"/>
          </w:tcPr>
          <w:p w14:paraId="558639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049" w:type="dxa"/>
            <w:tcBorders>
              <w:top w:val="single" w:color="000000" w:sz="4" w:space="0"/>
              <w:left w:val="single" w:color="000000" w:sz="4" w:space="0"/>
              <w:bottom w:val="nil"/>
              <w:right w:val="single" w:color="000000" w:sz="4" w:space="0"/>
            </w:tcBorders>
            <w:shd w:val="clear" w:color="auto" w:fill="auto"/>
            <w:vAlign w:val="center"/>
          </w:tcPr>
          <w:p w14:paraId="5865CB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754" w:type="dxa"/>
            <w:tcBorders>
              <w:top w:val="single" w:color="000000" w:sz="4" w:space="0"/>
              <w:left w:val="single" w:color="000000" w:sz="4" w:space="0"/>
              <w:bottom w:val="nil"/>
              <w:right w:val="single" w:color="000000" w:sz="4" w:space="0"/>
            </w:tcBorders>
            <w:shd w:val="clear" w:color="auto" w:fill="auto"/>
            <w:vAlign w:val="center"/>
          </w:tcPr>
          <w:p w14:paraId="2F330D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486" w:type="dxa"/>
            <w:tcBorders>
              <w:top w:val="single" w:color="000000" w:sz="4" w:space="0"/>
              <w:left w:val="single" w:color="000000" w:sz="4" w:space="0"/>
              <w:bottom w:val="nil"/>
              <w:right w:val="single" w:color="000000" w:sz="4" w:space="0"/>
            </w:tcBorders>
            <w:shd w:val="clear" w:color="auto" w:fill="auto"/>
            <w:vAlign w:val="center"/>
          </w:tcPr>
          <w:p w14:paraId="08B20C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66" w:type="dxa"/>
            <w:tcBorders>
              <w:top w:val="single" w:color="000000" w:sz="4" w:space="0"/>
              <w:left w:val="single" w:color="000000" w:sz="4" w:space="0"/>
              <w:bottom w:val="nil"/>
              <w:right w:val="single" w:color="000000" w:sz="4" w:space="0"/>
            </w:tcBorders>
            <w:shd w:val="clear" w:color="auto" w:fill="auto"/>
            <w:vAlign w:val="center"/>
          </w:tcPr>
          <w:p w14:paraId="6C9116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2.75</w:t>
            </w:r>
          </w:p>
        </w:tc>
        <w:tc>
          <w:tcPr>
            <w:tcW w:w="1478" w:type="dxa"/>
            <w:tcBorders>
              <w:top w:val="single" w:color="000000" w:sz="4" w:space="0"/>
              <w:left w:val="single" w:color="000000" w:sz="4" w:space="0"/>
              <w:bottom w:val="nil"/>
              <w:right w:val="single" w:color="000000" w:sz="4" w:space="0"/>
            </w:tcBorders>
            <w:shd w:val="clear" w:color="auto" w:fill="auto"/>
            <w:vAlign w:val="center"/>
          </w:tcPr>
          <w:p w14:paraId="7EECBE0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根据去年历史数据设置目标值，进一步提升目标值编制准确性</w:t>
            </w:r>
          </w:p>
        </w:tc>
      </w:tr>
      <w:tr w14:paraId="49F18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05" w:type="dxa"/>
            <w:vMerge w:val="continue"/>
            <w:tcBorders>
              <w:top w:val="single" w:color="000000" w:sz="4" w:space="0"/>
              <w:left w:val="single" w:color="000000" w:sz="4" w:space="0"/>
              <w:bottom w:val="nil"/>
              <w:right w:val="single" w:color="000000" w:sz="4" w:space="0"/>
            </w:tcBorders>
            <w:shd w:val="clear" w:color="auto" w:fill="auto"/>
            <w:vAlign w:val="center"/>
          </w:tcPr>
          <w:p w14:paraId="34AAA870">
            <w:pPr>
              <w:jc w:val="center"/>
              <w:rPr>
                <w:rFonts w:hint="eastAsia" w:ascii="宋体" w:hAnsi="宋体" w:eastAsia="宋体" w:cs="宋体"/>
                <w:i w:val="0"/>
                <w:iCs w:val="0"/>
                <w:color w:val="000000"/>
                <w:sz w:val="18"/>
                <w:szCs w:val="18"/>
                <w:u w:val="none"/>
              </w:rPr>
            </w:pPr>
          </w:p>
        </w:tc>
        <w:tc>
          <w:tcPr>
            <w:tcW w:w="615" w:type="dxa"/>
            <w:vMerge w:val="continue"/>
            <w:tcBorders>
              <w:top w:val="single" w:color="000000" w:sz="4" w:space="0"/>
              <w:left w:val="single" w:color="000000" w:sz="4" w:space="0"/>
              <w:bottom w:val="nil"/>
              <w:right w:val="single" w:color="000000" w:sz="4" w:space="0"/>
            </w:tcBorders>
            <w:shd w:val="clear" w:color="auto" w:fill="auto"/>
            <w:vAlign w:val="center"/>
          </w:tcPr>
          <w:p w14:paraId="15413983">
            <w:pPr>
              <w:jc w:val="center"/>
              <w:rPr>
                <w:rFonts w:hint="eastAsia" w:ascii="宋体" w:hAnsi="宋体" w:eastAsia="宋体" w:cs="宋体"/>
                <w:i w:val="0"/>
                <w:iCs w:val="0"/>
                <w:color w:val="000000"/>
                <w:sz w:val="18"/>
                <w:szCs w:val="18"/>
                <w:u w:val="none"/>
              </w:rPr>
            </w:pPr>
          </w:p>
        </w:tc>
        <w:tc>
          <w:tcPr>
            <w:tcW w:w="705" w:type="dxa"/>
            <w:vMerge w:val="continue"/>
            <w:tcBorders>
              <w:top w:val="single" w:color="000000" w:sz="4" w:space="0"/>
              <w:left w:val="single" w:color="000000" w:sz="4" w:space="0"/>
              <w:bottom w:val="nil"/>
              <w:right w:val="single" w:color="000000" w:sz="4" w:space="0"/>
            </w:tcBorders>
            <w:shd w:val="clear" w:color="auto" w:fill="auto"/>
            <w:vAlign w:val="center"/>
          </w:tcPr>
          <w:p w14:paraId="1D5EFD07">
            <w:pPr>
              <w:jc w:val="center"/>
              <w:rPr>
                <w:rFonts w:hint="eastAsia" w:ascii="宋体" w:hAnsi="宋体" w:eastAsia="宋体" w:cs="宋体"/>
                <w:i w:val="0"/>
                <w:iCs w:val="0"/>
                <w:color w:val="000000"/>
                <w:sz w:val="18"/>
                <w:szCs w:val="18"/>
                <w:u w:val="none"/>
              </w:rPr>
            </w:pPr>
          </w:p>
        </w:tc>
        <w:tc>
          <w:tcPr>
            <w:tcW w:w="1263" w:type="dxa"/>
            <w:tcBorders>
              <w:top w:val="single" w:color="000000" w:sz="4" w:space="0"/>
              <w:left w:val="single" w:color="000000" w:sz="4" w:space="0"/>
              <w:bottom w:val="nil"/>
              <w:right w:val="single" w:color="000000" w:sz="4" w:space="0"/>
            </w:tcBorders>
            <w:shd w:val="clear" w:color="auto" w:fill="auto"/>
            <w:vAlign w:val="center"/>
          </w:tcPr>
          <w:p w14:paraId="40560E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委托印刷服务次数</w:t>
            </w:r>
          </w:p>
        </w:tc>
        <w:tc>
          <w:tcPr>
            <w:tcW w:w="619" w:type="dxa"/>
            <w:tcBorders>
              <w:top w:val="single" w:color="000000" w:sz="4" w:space="0"/>
              <w:left w:val="single" w:color="000000" w:sz="4" w:space="0"/>
              <w:bottom w:val="nil"/>
              <w:right w:val="single" w:color="000000" w:sz="4" w:space="0"/>
            </w:tcBorders>
            <w:shd w:val="clear" w:color="auto" w:fill="auto"/>
            <w:vAlign w:val="center"/>
          </w:tcPr>
          <w:p w14:paraId="6D9235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619" w:type="dxa"/>
            <w:tcBorders>
              <w:top w:val="single" w:color="000000" w:sz="4" w:space="0"/>
              <w:left w:val="single" w:color="000000" w:sz="4" w:space="0"/>
              <w:bottom w:val="nil"/>
              <w:right w:val="single" w:color="000000" w:sz="4" w:space="0"/>
            </w:tcBorders>
            <w:shd w:val="clear" w:color="auto" w:fill="auto"/>
            <w:vAlign w:val="center"/>
          </w:tcPr>
          <w:p w14:paraId="0F7568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1151" w:type="dxa"/>
            <w:tcBorders>
              <w:top w:val="single" w:color="000000" w:sz="4" w:space="0"/>
              <w:left w:val="single" w:color="000000" w:sz="4" w:space="0"/>
              <w:bottom w:val="nil"/>
              <w:right w:val="single" w:color="000000" w:sz="4" w:space="0"/>
            </w:tcBorders>
            <w:shd w:val="clear" w:color="auto" w:fill="auto"/>
            <w:vAlign w:val="center"/>
          </w:tcPr>
          <w:p w14:paraId="64BF4E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049" w:type="dxa"/>
            <w:tcBorders>
              <w:top w:val="single" w:color="000000" w:sz="4" w:space="0"/>
              <w:left w:val="single" w:color="000000" w:sz="4" w:space="0"/>
              <w:bottom w:val="nil"/>
              <w:right w:val="single" w:color="000000" w:sz="4" w:space="0"/>
            </w:tcBorders>
            <w:shd w:val="clear" w:color="auto" w:fill="auto"/>
            <w:vAlign w:val="center"/>
          </w:tcPr>
          <w:p w14:paraId="4B3706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754" w:type="dxa"/>
            <w:tcBorders>
              <w:top w:val="single" w:color="000000" w:sz="4" w:space="0"/>
              <w:left w:val="single" w:color="000000" w:sz="4" w:space="0"/>
              <w:bottom w:val="nil"/>
              <w:right w:val="single" w:color="000000" w:sz="4" w:space="0"/>
            </w:tcBorders>
            <w:shd w:val="clear" w:color="auto" w:fill="auto"/>
            <w:vAlign w:val="center"/>
          </w:tcPr>
          <w:p w14:paraId="2CFF35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486" w:type="dxa"/>
            <w:tcBorders>
              <w:top w:val="single" w:color="000000" w:sz="4" w:space="0"/>
              <w:left w:val="single" w:color="000000" w:sz="4" w:space="0"/>
              <w:bottom w:val="nil"/>
              <w:right w:val="single" w:color="000000" w:sz="4" w:space="0"/>
            </w:tcBorders>
            <w:shd w:val="clear" w:color="auto" w:fill="auto"/>
            <w:vAlign w:val="center"/>
          </w:tcPr>
          <w:p w14:paraId="7F154F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66" w:type="dxa"/>
            <w:tcBorders>
              <w:top w:val="single" w:color="000000" w:sz="4" w:space="0"/>
              <w:left w:val="single" w:color="000000" w:sz="4" w:space="0"/>
              <w:bottom w:val="nil"/>
              <w:right w:val="single" w:color="000000" w:sz="4" w:space="0"/>
            </w:tcBorders>
            <w:shd w:val="clear" w:color="auto" w:fill="auto"/>
            <w:vAlign w:val="center"/>
          </w:tcPr>
          <w:p w14:paraId="1C9803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78" w:type="dxa"/>
            <w:tcBorders>
              <w:top w:val="single" w:color="000000" w:sz="4" w:space="0"/>
              <w:left w:val="single" w:color="000000" w:sz="4" w:space="0"/>
              <w:bottom w:val="nil"/>
              <w:right w:val="single" w:color="000000" w:sz="4" w:space="0"/>
            </w:tcBorders>
            <w:shd w:val="clear" w:color="auto" w:fill="auto"/>
            <w:vAlign w:val="center"/>
          </w:tcPr>
          <w:p w14:paraId="75855B1C">
            <w:pPr>
              <w:jc w:val="center"/>
              <w:rPr>
                <w:rFonts w:hint="eastAsia" w:ascii="宋体" w:hAnsi="宋体" w:eastAsia="宋体" w:cs="宋体"/>
                <w:i w:val="0"/>
                <w:iCs w:val="0"/>
                <w:color w:val="000000"/>
                <w:sz w:val="18"/>
                <w:szCs w:val="18"/>
                <w:u w:val="none"/>
              </w:rPr>
            </w:pPr>
          </w:p>
        </w:tc>
      </w:tr>
      <w:tr w14:paraId="4CAF5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05" w:type="dxa"/>
            <w:vMerge w:val="continue"/>
            <w:tcBorders>
              <w:top w:val="single" w:color="000000" w:sz="4" w:space="0"/>
              <w:left w:val="single" w:color="000000" w:sz="4" w:space="0"/>
              <w:bottom w:val="nil"/>
              <w:right w:val="single" w:color="000000" w:sz="4" w:space="0"/>
            </w:tcBorders>
            <w:shd w:val="clear" w:color="auto" w:fill="auto"/>
            <w:vAlign w:val="center"/>
          </w:tcPr>
          <w:p w14:paraId="318ED181">
            <w:pPr>
              <w:jc w:val="center"/>
              <w:rPr>
                <w:rFonts w:hint="eastAsia" w:ascii="宋体" w:hAnsi="宋体" w:eastAsia="宋体" w:cs="宋体"/>
                <w:i w:val="0"/>
                <w:iCs w:val="0"/>
                <w:color w:val="000000"/>
                <w:sz w:val="18"/>
                <w:szCs w:val="18"/>
                <w:u w:val="none"/>
              </w:rPr>
            </w:pPr>
          </w:p>
        </w:tc>
        <w:tc>
          <w:tcPr>
            <w:tcW w:w="615" w:type="dxa"/>
            <w:vMerge w:val="continue"/>
            <w:tcBorders>
              <w:top w:val="single" w:color="000000" w:sz="4" w:space="0"/>
              <w:left w:val="single" w:color="000000" w:sz="4" w:space="0"/>
              <w:bottom w:val="nil"/>
              <w:right w:val="single" w:color="000000" w:sz="4" w:space="0"/>
            </w:tcBorders>
            <w:shd w:val="clear" w:color="auto" w:fill="auto"/>
            <w:vAlign w:val="center"/>
          </w:tcPr>
          <w:p w14:paraId="3BB90953">
            <w:pPr>
              <w:jc w:val="center"/>
              <w:rPr>
                <w:rFonts w:hint="eastAsia" w:ascii="宋体" w:hAnsi="宋体" w:eastAsia="宋体" w:cs="宋体"/>
                <w:i w:val="0"/>
                <w:iCs w:val="0"/>
                <w:color w:val="000000"/>
                <w:sz w:val="18"/>
                <w:szCs w:val="18"/>
                <w:u w:val="none"/>
              </w:rPr>
            </w:pPr>
          </w:p>
        </w:tc>
        <w:tc>
          <w:tcPr>
            <w:tcW w:w="705" w:type="dxa"/>
            <w:vMerge w:val="continue"/>
            <w:tcBorders>
              <w:top w:val="single" w:color="000000" w:sz="4" w:space="0"/>
              <w:left w:val="single" w:color="000000" w:sz="4" w:space="0"/>
              <w:bottom w:val="nil"/>
              <w:right w:val="single" w:color="000000" w:sz="4" w:space="0"/>
            </w:tcBorders>
            <w:shd w:val="clear" w:color="auto" w:fill="auto"/>
            <w:vAlign w:val="center"/>
          </w:tcPr>
          <w:p w14:paraId="19DF80B7">
            <w:pPr>
              <w:jc w:val="center"/>
              <w:rPr>
                <w:rFonts w:hint="eastAsia" w:ascii="宋体" w:hAnsi="宋体" w:eastAsia="宋体" w:cs="宋体"/>
                <w:i w:val="0"/>
                <w:iCs w:val="0"/>
                <w:color w:val="000000"/>
                <w:sz w:val="18"/>
                <w:szCs w:val="18"/>
                <w:u w:val="none"/>
              </w:rPr>
            </w:pPr>
          </w:p>
        </w:tc>
        <w:tc>
          <w:tcPr>
            <w:tcW w:w="1263" w:type="dxa"/>
            <w:tcBorders>
              <w:top w:val="single" w:color="000000" w:sz="4" w:space="0"/>
              <w:left w:val="single" w:color="000000" w:sz="4" w:space="0"/>
              <w:bottom w:val="nil"/>
              <w:right w:val="single" w:color="000000" w:sz="4" w:space="0"/>
            </w:tcBorders>
            <w:shd w:val="clear" w:color="auto" w:fill="auto"/>
            <w:vAlign w:val="center"/>
          </w:tcPr>
          <w:p w14:paraId="0AECB1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公务用车维护数量</w:t>
            </w:r>
          </w:p>
        </w:tc>
        <w:tc>
          <w:tcPr>
            <w:tcW w:w="619" w:type="dxa"/>
            <w:tcBorders>
              <w:top w:val="single" w:color="000000" w:sz="4" w:space="0"/>
              <w:left w:val="single" w:color="000000" w:sz="4" w:space="0"/>
              <w:bottom w:val="nil"/>
              <w:right w:val="single" w:color="000000" w:sz="4" w:space="0"/>
            </w:tcBorders>
            <w:shd w:val="clear" w:color="auto" w:fill="auto"/>
            <w:vAlign w:val="center"/>
          </w:tcPr>
          <w:p w14:paraId="0DF1BD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619" w:type="dxa"/>
            <w:tcBorders>
              <w:top w:val="single" w:color="000000" w:sz="4" w:space="0"/>
              <w:left w:val="single" w:color="000000" w:sz="4" w:space="0"/>
              <w:bottom w:val="nil"/>
              <w:right w:val="single" w:color="000000" w:sz="4" w:space="0"/>
            </w:tcBorders>
            <w:shd w:val="clear" w:color="auto" w:fill="auto"/>
            <w:vAlign w:val="center"/>
          </w:tcPr>
          <w:p w14:paraId="5CFADE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1151" w:type="dxa"/>
            <w:tcBorders>
              <w:top w:val="single" w:color="000000" w:sz="4" w:space="0"/>
              <w:left w:val="single" w:color="000000" w:sz="4" w:space="0"/>
              <w:bottom w:val="nil"/>
              <w:right w:val="single" w:color="000000" w:sz="4" w:space="0"/>
            </w:tcBorders>
            <w:shd w:val="clear" w:color="auto" w:fill="auto"/>
            <w:vAlign w:val="center"/>
          </w:tcPr>
          <w:p w14:paraId="45B6DE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049" w:type="dxa"/>
            <w:tcBorders>
              <w:top w:val="single" w:color="000000" w:sz="4" w:space="0"/>
              <w:left w:val="single" w:color="000000" w:sz="4" w:space="0"/>
              <w:bottom w:val="nil"/>
              <w:right w:val="single" w:color="000000" w:sz="4" w:space="0"/>
            </w:tcBorders>
            <w:shd w:val="clear" w:color="auto" w:fill="auto"/>
            <w:vAlign w:val="center"/>
          </w:tcPr>
          <w:p w14:paraId="65687F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754" w:type="dxa"/>
            <w:tcBorders>
              <w:top w:val="single" w:color="000000" w:sz="4" w:space="0"/>
              <w:left w:val="single" w:color="000000" w:sz="4" w:space="0"/>
              <w:bottom w:val="nil"/>
              <w:right w:val="single" w:color="000000" w:sz="4" w:space="0"/>
            </w:tcBorders>
            <w:shd w:val="clear" w:color="auto" w:fill="auto"/>
            <w:vAlign w:val="center"/>
          </w:tcPr>
          <w:p w14:paraId="537D25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辆</w:t>
            </w:r>
          </w:p>
        </w:tc>
        <w:tc>
          <w:tcPr>
            <w:tcW w:w="486" w:type="dxa"/>
            <w:tcBorders>
              <w:top w:val="single" w:color="000000" w:sz="4" w:space="0"/>
              <w:left w:val="single" w:color="000000" w:sz="4" w:space="0"/>
              <w:bottom w:val="nil"/>
              <w:right w:val="single" w:color="000000" w:sz="4" w:space="0"/>
            </w:tcBorders>
            <w:shd w:val="clear" w:color="auto" w:fill="auto"/>
            <w:vAlign w:val="center"/>
          </w:tcPr>
          <w:p w14:paraId="7FA52E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66" w:type="dxa"/>
            <w:tcBorders>
              <w:top w:val="single" w:color="000000" w:sz="4" w:space="0"/>
              <w:left w:val="single" w:color="000000" w:sz="4" w:space="0"/>
              <w:bottom w:val="nil"/>
              <w:right w:val="single" w:color="000000" w:sz="4" w:space="0"/>
            </w:tcBorders>
            <w:shd w:val="clear" w:color="auto" w:fill="auto"/>
            <w:vAlign w:val="center"/>
          </w:tcPr>
          <w:p w14:paraId="6D4ADA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478" w:type="dxa"/>
            <w:tcBorders>
              <w:top w:val="single" w:color="000000" w:sz="4" w:space="0"/>
              <w:left w:val="single" w:color="000000" w:sz="4" w:space="0"/>
              <w:bottom w:val="nil"/>
              <w:right w:val="single" w:color="000000" w:sz="4" w:space="0"/>
            </w:tcBorders>
            <w:shd w:val="clear" w:color="auto" w:fill="auto"/>
            <w:vAlign w:val="center"/>
          </w:tcPr>
          <w:p w14:paraId="4C56A45C">
            <w:pPr>
              <w:jc w:val="center"/>
              <w:rPr>
                <w:rFonts w:hint="eastAsia" w:ascii="宋体" w:hAnsi="宋体" w:eastAsia="宋体" w:cs="宋体"/>
                <w:i w:val="0"/>
                <w:iCs w:val="0"/>
                <w:color w:val="000000"/>
                <w:sz w:val="18"/>
                <w:szCs w:val="18"/>
                <w:u w:val="none"/>
              </w:rPr>
            </w:pPr>
          </w:p>
        </w:tc>
      </w:tr>
      <w:tr w14:paraId="5DFACA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05" w:type="dxa"/>
            <w:vMerge w:val="continue"/>
            <w:tcBorders>
              <w:top w:val="single" w:color="000000" w:sz="4" w:space="0"/>
              <w:left w:val="single" w:color="000000" w:sz="4" w:space="0"/>
              <w:bottom w:val="nil"/>
              <w:right w:val="single" w:color="000000" w:sz="4" w:space="0"/>
            </w:tcBorders>
            <w:shd w:val="clear" w:color="auto" w:fill="auto"/>
            <w:vAlign w:val="center"/>
          </w:tcPr>
          <w:p w14:paraId="375CBE9C">
            <w:pPr>
              <w:jc w:val="center"/>
              <w:rPr>
                <w:rFonts w:hint="eastAsia" w:ascii="宋体" w:hAnsi="宋体" w:eastAsia="宋体" w:cs="宋体"/>
                <w:i w:val="0"/>
                <w:iCs w:val="0"/>
                <w:color w:val="000000"/>
                <w:sz w:val="18"/>
                <w:szCs w:val="18"/>
                <w:u w:val="none"/>
              </w:rPr>
            </w:pPr>
          </w:p>
        </w:tc>
        <w:tc>
          <w:tcPr>
            <w:tcW w:w="615" w:type="dxa"/>
            <w:vMerge w:val="continue"/>
            <w:tcBorders>
              <w:top w:val="single" w:color="000000" w:sz="4" w:space="0"/>
              <w:left w:val="single" w:color="000000" w:sz="4" w:space="0"/>
              <w:bottom w:val="nil"/>
              <w:right w:val="single" w:color="000000" w:sz="4" w:space="0"/>
            </w:tcBorders>
            <w:shd w:val="clear" w:color="auto" w:fill="auto"/>
            <w:vAlign w:val="center"/>
          </w:tcPr>
          <w:p w14:paraId="3C32167E">
            <w:pPr>
              <w:jc w:val="center"/>
              <w:rPr>
                <w:rFonts w:hint="eastAsia" w:ascii="宋体" w:hAnsi="宋体" w:eastAsia="宋体" w:cs="宋体"/>
                <w:i w:val="0"/>
                <w:iCs w:val="0"/>
                <w:color w:val="000000"/>
                <w:sz w:val="18"/>
                <w:szCs w:val="18"/>
                <w:u w:val="none"/>
              </w:rPr>
            </w:pPr>
          </w:p>
        </w:tc>
        <w:tc>
          <w:tcPr>
            <w:tcW w:w="705" w:type="dxa"/>
            <w:vMerge w:val="continue"/>
            <w:tcBorders>
              <w:top w:val="single" w:color="000000" w:sz="4" w:space="0"/>
              <w:left w:val="single" w:color="000000" w:sz="4" w:space="0"/>
              <w:bottom w:val="nil"/>
              <w:right w:val="single" w:color="000000" w:sz="4" w:space="0"/>
            </w:tcBorders>
            <w:shd w:val="clear" w:color="auto" w:fill="auto"/>
            <w:vAlign w:val="center"/>
          </w:tcPr>
          <w:p w14:paraId="18058BF8">
            <w:pPr>
              <w:jc w:val="center"/>
              <w:rPr>
                <w:rFonts w:hint="eastAsia" w:ascii="宋体" w:hAnsi="宋体" w:eastAsia="宋体" w:cs="宋体"/>
                <w:i w:val="0"/>
                <w:iCs w:val="0"/>
                <w:color w:val="000000"/>
                <w:sz w:val="18"/>
                <w:szCs w:val="18"/>
                <w:u w:val="none"/>
              </w:rPr>
            </w:pPr>
          </w:p>
        </w:tc>
        <w:tc>
          <w:tcPr>
            <w:tcW w:w="1263" w:type="dxa"/>
            <w:tcBorders>
              <w:top w:val="single" w:color="000000" w:sz="4" w:space="0"/>
              <w:left w:val="single" w:color="000000" w:sz="4" w:space="0"/>
              <w:bottom w:val="nil"/>
              <w:right w:val="single" w:color="000000" w:sz="4" w:space="0"/>
            </w:tcBorders>
            <w:shd w:val="clear" w:color="auto" w:fill="auto"/>
            <w:vAlign w:val="center"/>
          </w:tcPr>
          <w:p w14:paraId="4069D1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取暖面积</w:t>
            </w:r>
          </w:p>
        </w:tc>
        <w:tc>
          <w:tcPr>
            <w:tcW w:w="619" w:type="dxa"/>
            <w:tcBorders>
              <w:top w:val="single" w:color="000000" w:sz="4" w:space="0"/>
              <w:left w:val="single" w:color="000000" w:sz="4" w:space="0"/>
              <w:bottom w:val="nil"/>
              <w:right w:val="single" w:color="000000" w:sz="4" w:space="0"/>
            </w:tcBorders>
            <w:shd w:val="clear" w:color="auto" w:fill="auto"/>
            <w:vAlign w:val="center"/>
          </w:tcPr>
          <w:p w14:paraId="168257A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619" w:type="dxa"/>
            <w:tcBorders>
              <w:top w:val="single" w:color="000000" w:sz="4" w:space="0"/>
              <w:left w:val="single" w:color="000000" w:sz="4" w:space="0"/>
              <w:bottom w:val="nil"/>
              <w:right w:val="single" w:color="000000" w:sz="4" w:space="0"/>
            </w:tcBorders>
            <w:shd w:val="clear" w:color="auto" w:fill="auto"/>
            <w:vAlign w:val="center"/>
          </w:tcPr>
          <w:p w14:paraId="625268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1151" w:type="dxa"/>
            <w:tcBorders>
              <w:top w:val="single" w:color="000000" w:sz="4" w:space="0"/>
              <w:left w:val="single" w:color="000000" w:sz="4" w:space="0"/>
              <w:bottom w:val="nil"/>
              <w:right w:val="single" w:color="000000" w:sz="4" w:space="0"/>
            </w:tcBorders>
            <w:shd w:val="clear" w:color="auto" w:fill="auto"/>
            <w:vAlign w:val="center"/>
          </w:tcPr>
          <w:p w14:paraId="30A97E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7216.76</w:t>
            </w:r>
          </w:p>
        </w:tc>
        <w:tc>
          <w:tcPr>
            <w:tcW w:w="1049" w:type="dxa"/>
            <w:tcBorders>
              <w:top w:val="single" w:color="000000" w:sz="4" w:space="0"/>
              <w:left w:val="single" w:color="000000" w:sz="4" w:space="0"/>
              <w:bottom w:val="nil"/>
              <w:right w:val="single" w:color="000000" w:sz="4" w:space="0"/>
            </w:tcBorders>
            <w:shd w:val="clear" w:color="auto" w:fill="auto"/>
            <w:vAlign w:val="center"/>
          </w:tcPr>
          <w:p w14:paraId="483024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7216.76</w:t>
            </w:r>
          </w:p>
        </w:tc>
        <w:tc>
          <w:tcPr>
            <w:tcW w:w="754" w:type="dxa"/>
            <w:tcBorders>
              <w:top w:val="single" w:color="000000" w:sz="4" w:space="0"/>
              <w:left w:val="single" w:color="000000" w:sz="4" w:space="0"/>
              <w:bottom w:val="nil"/>
              <w:right w:val="single" w:color="000000" w:sz="4" w:space="0"/>
            </w:tcBorders>
            <w:shd w:val="clear" w:color="auto" w:fill="auto"/>
            <w:vAlign w:val="center"/>
          </w:tcPr>
          <w:p w14:paraId="276E86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nil"/>
              <w:right w:val="single" w:color="000000" w:sz="4" w:space="0"/>
            </w:tcBorders>
            <w:shd w:val="clear" w:color="auto" w:fill="auto"/>
            <w:vAlign w:val="center"/>
          </w:tcPr>
          <w:p w14:paraId="044C1F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66" w:type="dxa"/>
            <w:tcBorders>
              <w:top w:val="single" w:color="000000" w:sz="4" w:space="0"/>
              <w:left w:val="single" w:color="000000" w:sz="4" w:space="0"/>
              <w:bottom w:val="nil"/>
              <w:right w:val="single" w:color="000000" w:sz="4" w:space="0"/>
            </w:tcBorders>
            <w:shd w:val="clear" w:color="auto" w:fill="auto"/>
            <w:vAlign w:val="center"/>
          </w:tcPr>
          <w:p w14:paraId="0DCD39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78" w:type="dxa"/>
            <w:tcBorders>
              <w:top w:val="single" w:color="000000" w:sz="4" w:space="0"/>
              <w:left w:val="single" w:color="000000" w:sz="4" w:space="0"/>
              <w:bottom w:val="nil"/>
              <w:right w:val="single" w:color="000000" w:sz="4" w:space="0"/>
            </w:tcBorders>
            <w:shd w:val="clear" w:color="auto" w:fill="auto"/>
            <w:vAlign w:val="center"/>
          </w:tcPr>
          <w:p w14:paraId="0496CCFA">
            <w:pPr>
              <w:jc w:val="center"/>
              <w:rPr>
                <w:rFonts w:hint="eastAsia" w:ascii="宋体" w:hAnsi="宋体" w:eastAsia="宋体" w:cs="宋体"/>
                <w:i w:val="0"/>
                <w:iCs w:val="0"/>
                <w:color w:val="000000"/>
                <w:sz w:val="18"/>
                <w:szCs w:val="18"/>
                <w:u w:val="none"/>
              </w:rPr>
            </w:pPr>
          </w:p>
        </w:tc>
      </w:tr>
      <w:tr w14:paraId="5D5E07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05" w:type="dxa"/>
            <w:vMerge w:val="continue"/>
            <w:tcBorders>
              <w:top w:val="single" w:color="000000" w:sz="4" w:space="0"/>
              <w:left w:val="single" w:color="000000" w:sz="4" w:space="0"/>
              <w:bottom w:val="nil"/>
              <w:right w:val="single" w:color="000000" w:sz="4" w:space="0"/>
            </w:tcBorders>
            <w:shd w:val="clear" w:color="auto" w:fill="auto"/>
            <w:vAlign w:val="center"/>
          </w:tcPr>
          <w:p w14:paraId="35EA6B95">
            <w:pPr>
              <w:jc w:val="center"/>
              <w:rPr>
                <w:rFonts w:hint="eastAsia" w:ascii="宋体" w:hAnsi="宋体" w:eastAsia="宋体" w:cs="宋体"/>
                <w:i w:val="0"/>
                <w:iCs w:val="0"/>
                <w:color w:val="000000"/>
                <w:sz w:val="18"/>
                <w:szCs w:val="18"/>
                <w:u w:val="none"/>
              </w:rPr>
            </w:pPr>
          </w:p>
        </w:tc>
        <w:tc>
          <w:tcPr>
            <w:tcW w:w="615" w:type="dxa"/>
            <w:vMerge w:val="continue"/>
            <w:tcBorders>
              <w:top w:val="single" w:color="000000" w:sz="4" w:space="0"/>
              <w:left w:val="single" w:color="000000" w:sz="4" w:space="0"/>
              <w:bottom w:val="nil"/>
              <w:right w:val="single" w:color="000000" w:sz="4" w:space="0"/>
            </w:tcBorders>
            <w:shd w:val="clear" w:color="auto" w:fill="auto"/>
            <w:vAlign w:val="center"/>
          </w:tcPr>
          <w:p w14:paraId="4A12C002">
            <w:pPr>
              <w:jc w:val="center"/>
              <w:rPr>
                <w:rFonts w:hint="eastAsia" w:ascii="宋体" w:hAnsi="宋体" w:eastAsia="宋体" w:cs="宋体"/>
                <w:i w:val="0"/>
                <w:iCs w:val="0"/>
                <w:color w:val="000000"/>
                <w:sz w:val="18"/>
                <w:szCs w:val="18"/>
                <w:u w:val="none"/>
              </w:rPr>
            </w:pPr>
          </w:p>
        </w:tc>
        <w:tc>
          <w:tcPr>
            <w:tcW w:w="705" w:type="dxa"/>
            <w:vMerge w:val="continue"/>
            <w:tcBorders>
              <w:top w:val="single" w:color="000000" w:sz="4" w:space="0"/>
              <w:left w:val="single" w:color="000000" w:sz="4" w:space="0"/>
              <w:bottom w:val="nil"/>
              <w:right w:val="single" w:color="000000" w:sz="4" w:space="0"/>
            </w:tcBorders>
            <w:shd w:val="clear" w:color="auto" w:fill="auto"/>
            <w:vAlign w:val="center"/>
          </w:tcPr>
          <w:p w14:paraId="5C23C621">
            <w:pPr>
              <w:jc w:val="center"/>
              <w:rPr>
                <w:rFonts w:hint="eastAsia" w:ascii="宋体" w:hAnsi="宋体" w:eastAsia="宋体" w:cs="宋体"/>
                <w:i w:val="0"/>
                <w:iCs w:val="0"/>
                <w:color w:val="000000"/>
                <w:sz w:val="18"/>
                <w:szCs w:val="18"/>
                <w:u w:val="none"/>
              </w:rPr>
            </w:pPr>
          </w:p>
        </w:tc>
        <w:tc>
          <w:tcPr>
            <w:tcW w:w="1263" w:type="dxa"/>
            <w:tcBorders>
              <w:top w:val="single" w:color="000000" w:sz="4" w:space="0"/>
              <w:left w:val="single" w:color="000000" w:sz="4" w:space="0"/>
              <w:bottom w:val="nil"/>
              <w:right w:val="single" w:color="000000" w:sz="4" w:space="0"/>
            </w:tcBorders>
            <w:shd w:val="clear" w:color="auto" w:fill="auto"/>
            <w:vAlign w:val="center"/>
          </w:tcPr>
          <w:p w14:paraId="59CB2E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委托物业服务季度数</w:t>
            </w:r>
          </w:p>
        </w:tc>
        <w:tc>
          <w:tcPr>
            <w:tcW w:w="619" w:type="dxa"/>
            <w:tcBorders>
              <w:top w:val="single" w:color="000000" w:sz="4" w:space="0"/>
              <w:left w:val="single" w:color="000000" w:sz="4" w:space="0"/>
              <w:bottom w:val="nil"/>
              <w:right w:val="single" w:color="000000" w:sz="4" w:space="0"/>
            </w:tcBorders>
            <w:shd w:val="clear" w:color="auto" w:fill="auto"/>
            <w:vAlign w:val="center"/>
          </w:tcPr>
          <w:p w14:paraId="5C99BD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619" w:type="dxa"/>
            <w:tcBorders>
              <w:top w:val="single" w:color="000000" w:sz="4" w:space="0"/>
              <w:left w:val="single" w:color="000000" w:sz="4" w:space="0"/>
              <w:bottom w:val="nil"/>
              <w:right w:val="single" w:color="000000" w:sz="4" w:space="0"/>
            </w:tcBorders>
            <w:shd w:val="clear" w:color="auto" w:fill="auto"/>
            <w:vAlign w:val="center"/>
          </w:tcPr>
          <w:p w14:paraId="5012E1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1151" w:type="dxa"/>
            <w:tcBorders>
              <w:top w:val="single" w:color="000000" w:sz="4" w:space="0"/>
              <w:left w:val="single" w:color="000000" w:sz="4" w:space="0"/>
              <w:bottom w:val="nil"/>
              <w:right w:val="single" w:color="000000" w:sz="4" w:space="0"/>
            </w:tcBorders>
            <w:shd w:val="clear" w:color="auto" w:fill="auto"/>
            <w:vAlign w:val="center"/>
          </w:tcPr>
          <w:p w14:paraId="7BD9BF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049" w:type="dxa"/>
            <w:tcBorders>
              <w:top w:val="single" w:color="000000" w:sz="4" w:space="0"/>
              <w:left w:val="single" w:color="000000" w:sz="4" w:space="0"/>
              <w:bottom w:val="nil"/>
              <w:right w:val="single" w:color="000000" w:sz="4" w:space="0"/>
            </w:tcBorders>
            <w:shd w:val="clear" w:color="auto" w:fill="auto"/>
            <w:vAlign w:val="center"/>
          </w:tcPr>
          <w:p w14:paraId="686A4D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54" w:type="dxa"/>
            <w:tcBorders>
              <w:top w:val="single" w:color="000000" w:sz="4" w:space="0"/>
              <w:left w:val="single" w:color="000000" w:sz="4" w:space="0"/>
              <w:bottom w:val="nil"/>
              <w:right w:val="single" w:color="000000" w:sz="4" w:space="0"/>
            </w:tcBorders>
            <w:shd w:val="clear" w:color="auto" w:fill="auto"/>
            <w:vAlign w:val="center"/>
          </w:tcPr>
          <w:p w14:paraId="085CC1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季度</w:t>
            </w:r>
          </w:p>
        </w:tc>
        <w:tc>
          <w:tcPr>
            <w:tcW w:w="486" w:type="dxa"/>
            <w:tcBorders>
              <w:top w:val="single" w:color="000000" w:sz="4" w:space="0"/>
              <w:left w:val="single" w:color="000000" w:sz="4" w:space="0"/>
              <w:bottom w:val="nil"/>
              <w:right w:val="single" w:color="000000" w:sz="4" w:space="0"/>
            </w:tcBorders>
            <w:shd w:val="clear" w:color="auto" w:fill="auto"/>
            <w:vAlign w:val="center"/>
          </w:tcPr>
          <w:p w14:paraId="277E7A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66" w:type="dxa"/>
            <w:tcBorders>
              <w:top w:val="single" w:color="000000" w:sz="4" w:space="0"/>
              <w:left w:val="single" w:color="000000" w:sz="4" w:space="0"/>
              <w:bottom w:val="nil"/>
              <w:right w:val="single" w:color="000000" w:sz="4" w:space="0"/>
            </w:tcBorders>
            <w:shd w:val="clear" w:color="auto" w:fill="auto"/>
            <w:vAlign w:val="center"/>
          </w:tcPr>
          <w:p w14:paraId="1A3EC0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78" w:type="dxa"/>
            <w:tcBorders>
              <w:top w:val="single" w:color="000000" w:sz="4" w:space="0"/>
              <w:left w:val="single" w:color="000000" w:sz="4" w:space="0"/>
              <w:bottom w:val="nil"/>
              <w:right w:val="single" w:color="000000" w:sz="4" w:space="0"/>
            </w:tcBorders>
            <w:shd w:val="clear" w:color="auto" w:fill="auto"/>
            <w:vAlign w:val="center"/>
          </w:tcPr>
          <w:p w14:paraId="085D253C">
            <w:pPr>
              <w:jc w:val="center"/>
              <w:rPr>
                <w:rFonts w:hint="eastAsia" w:ascii="宋体" w:hAnsi="宋体" w:eastAsia="宋体" w:cs="宋体"/>
                <w:i w:val="0"/>
                <w:iCs w:val="0"/>
                <w:color w:val="000000"/>
                <w:sz w:val="18"/>
                <w:szCs w:val="18"/>
                <w:u w:val="none"/>
              </w:rPr>
            </w:pPr>
          </w:p>
        </w:tc>
      </w:tr>
      <w:tr w14:paraId="46D02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05" w:type="dxa"/>
            <w:vMerge w:val="continue"/>
            <w:tcBorders>
              <w:top w:val="single" w:color="000000" w:sz="4" w:space="0"/>
              <w:left w:val="single" w:color="000000" w:sz="4" w:space="0"/>
              <w:bottom w:val="nil"/>
              <w:right w:val="single" w:color="000000" w:sz="4" w:space="0"/>
            </w:tcBorders>
            <w:shd w:val="clear" w:color="auto" w:fill="auto"/>
            <w:vAlign w:val="center"/>
          </w:tcPr>
          <w:p w14:paraId="041A637C">
            <w:pPr>
              <w:jc w:val="center"/>
              <w:rPr>
                <w:rFonts w:hint="eastAsia" w:ascii="宋体" w:hAnsi="宋体" w:eastAsia="宋体" w:cs="宋体"/>
                <w:i w:val="0"/>
                <w:iCs w:val="0"/>
                <w:color w:val="000000"/>
                <w:sz w:val="18"/>
                <w:szCs w:val="18"/>
                <w:u w:val="none"/>
              </w:rPr>
            </w:pPr>
          </w:p>
        </w:tc>
        <w:tc>
          <w:tcPr>
            <w:tcW w:w="615" w:type="dxa"/>
            <w:vMerge w:val="continue"/>
            <w:tcBorders>
              <w:top w:val="single" w:color="000000" w:sz="4" w:space="0"/>
              <w:left w:val="single" w:color="000000" w:sz="4" w:space="0"/>
              <w:bottom w:val="nil"/>
              <w:right w:val="single" w:color="000000" w:sz="4" w:space="0"/>
            </w:tcBorders>
            <w:shd w:val="clear" w:color="auto" w:fill="auto"/>
            <w:vAlign w:val="center"/>
          </w:tcPr>
          <w:p w14:paraId="0585595D">
            <w:pPr>
              <w:jc w:val="center"/>
              <w:rPr>
                <w:rFonts w:hint="eastAsia" w:ascii="宋体" w:hAnsi="宋体" w:eastAsia="宋体" w:cs="宋体"/>
                <w:i w:val="0"/>
                <w:iCs w:val="0"/>
                <w:color w:val="000000"/>
                <w:sz w:val="18"/>
                <w:szCs w:val="18"/>
                <w:u w:val="none"/>
              </w:rPr>
            </w:pPr>
          </w:p>
        </w:tc>
        <w:tc>
          <w:tcPr>
            <w:tcW w:w="705" w:type="dxa"/>
            <w:vMerge w:val="restart"/>
            <w:tcBorders>
              <w:top w:val="single" w:color="000000" w:sz="4" w:space="0"/>
              <w:left w:val="single" w:color="000000" w:sz="4" w:space="0"/>
              <w:bottom w:val="nil"/>
              <w:right w:val="single" w:color="000000" w:sz="4" w:space="0"/>
            </w:tcBorders>
            <w:shd w:val="clear" w:color="auto" w:fill="auto"/>
            <w:vAlign w:val="center"/>
          </w:tcPr>
          <w:p w14:paraId="6CC755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263" w:type="dxa"/>
            <w:tcBorders>
              <w:top w:val="single" w:color="000000" w:sz="4" w:space="0"/>
              <w:left w:val="single" w:color="000000" w:sz="4" w:space="0"/>
              <w:bottom w:val="nil"/>
              <w:right w:val="single" w:color="000000" w:sz="4" w:space="0"/>
            </w:tcBorders>
            <w:shd w:val="clear" w:color="auto" w:fill="auto"/>
            <w:vAlign w:val="center"/>
          </w:tcPr>
          <w:p w14:paraId="49BE4E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维修设备合格率</w:t>
            </w:r>
          </w:p>
        </w:tc>
        <w:tc>
          <w:tcPr>
            <w:tcW w:w="619" w:type="dxa"/>
            <w:tcBorders>
              <w:top w:val="single" w:color="000000" w:sz="4" w:space="0"/>
              <w:left w:val="single" w:color="000000" w:sz="4" w:space="0"/>
              <w:bottom w:val="nil"/>
              <w:right w:val="single" w:color="000000" w:sz="4" w:space="0"/>
            </w:tcBorders>
            <w:shd w:val="clear" w:color="auto" w:fill="auto"/>
            <w:vAlign w:val="center"/>
          </w:tcPr>
          <w:p w14:paraId="2F0DF5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619" w:type="dxa"/>
            <w:tcBorders>
              <w:top w:val="single" w:color="000000" w:sz="4" w:space="0"/>
              <w:left w:val="single" w:color="000000" w:sz="4" w:space="0"/>
              <w:bottom w:val="nil"/>
              <w:right w:val="single" w:color="000000" w:sz="4" w:space="0"/>
            </w:tcBorders>
            <w:shd w:val="clear" w:color="auto" w:fill="auto"/>
            <w:vAlign w:val="center"/>
          </w:tcPr>
          <w:p w14:paraId="5EB644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1151" w:type="dxa"/>
            <w:tcBorders>
              <w:top w:val="single" w:color="000000" w:sz="4" w:space="0"/>
              <w:left w:val="single" w:color="000000" w:sz="4" w:space="0"/>
              <w:bottom w:val="nil"/>
              <w:right w:val="single" w:color="000000" w:sz="4" w:space="0"/>
            </w:tcBorders>
            <w:shd w:val="clear" w:color="auto" w:fill="auto"/>
            <w:vAlign w:val="center"/>
          </w:tcPr>
          <w:p w14:paraId="7E1F95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49" w:type="dxa"/>
            <w:tcBorders>
              <w:top w:val="single" w:color="000000" w:sz="4" w:space="0"/>
              <w:left w:val="single" w:color="000000" w:sz="4" w:space="0"/>
              <w:bottom w:val="nil"/>
              <w:right w:val="single" w:color="000000" w:sz="4" w:space="0"/>
            </w:tcBorders>
            <w:shd w:val="clear" w:color="auto" w:fill="auto"/>
            <w:vAlign w:val="center"/>
          </w:tcPr>
          <w:p w14:paraId="4969E5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54" w:type="dxa"/>
            <w:tcBorders>
              <w:top w:val="single" w:color="000000" w:sz="4" w:space="0"/>
              <w:left w:val="single" w:color="000000" w:sz="4" w:space="0"/>
              <w:bottom w:val="nil"/>
              <w:right w:val="single" w:color="000000" w:sz="4" w:space="0"/>
            </w:tcBorders>
            <w:shd w:val="clear" w:color="auto" w:fill="auto"/>
            <w:vAlign w:val="center"/>
          </w:tcPr>
          <w:p w14:paraId="0736AA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nil"/>
              <w:right w:val="single" w:color="000000" w:sz="4" w:space="0"/>
            </w:tcBorders>
            <w:shd w:val="clear" w:color="auto" w:fill="auto"/>
            <w:vAlign w:val="center"/>
          </w:tcPr>
          <w:p w14:paraId="02EA4D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66" w:type="dxa"/>
            <w:tcBorders>
              <w:top w:val="single" w:color="000000" w:sz="4" w:space="0"/>
              <w:left w:val="single" w:color="000000" w:sz="4" w:space="0"/>
              <w:bottom w:val="nil"/>
              <w:right w:val="single" w:color="000000" w:sz="4" w:space="0"/>
            </w:tcBorders>
            <w:shd w:val="clear" w:color="auto" w:fill="auto"/>
            <w:vAlign w:val="center"/>
          </w:tcPr>
          <w:p w14:paraId="5EE03E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478" w:type="dxa"/>
            <w:tcBorders>
              <w:top w:val="single" w:color="000000" w:sz="4" w:space="0"/>
              <w:left w:val="single" w:color="000000" w:sz="4" w:space="0"/>
              <w:bottom w:val="nil"/>
              <w:right w:val="single" w:color="000000" w:sz="4" w:space="0"/>
            </w:tcBorders>
            <w:shd w:val="clear" w:color="auto" w:fill="auto"/>
            <w:vAlign w:val="center"/>
          </w:tcPr>
          <w:p w14:paraId="22D481CC">
            <w:pPr>
              <w:jc w:val="center"/>
              <w:rPr>
                <w:rFonts w:hint="eastAsia" w:ascii="宋体" w:hAnsi="宋体" w:eastAsia="宋体" w:cs="宋体"/>
                <w:i w:val="0"/>
                <w:iCs w:val="0"/>
                <w:color w:val="000000"/>
                <w:sz w:val="18"/>
                <w:szCs w:val="18"/>
                <w:u w:val="none"/>
              </w:rPr>
            </w:pPr>
          </w:p>
        </w:tc>
      </w:tr>
      <w:tr w14:paraId="33975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05" w:type="dxa"/>
            <w:vMerge w:val="continue"/>
            <w:tcBorders>
              <w:top w:val="single" w:color="000000" w:sz="4" w:space="0"/>
              <w:left w:val="single" w:color="000000" w:sz="4" w:space="0"/>
              <w:bottom w:val="nil"/>
              <w:right w:val="single" w:color="000000" w:sz="4" w:space="0"/>
            </w:tcBorders>
            <w:shd w:val="clear" w:color="auto" w:fill="auto"/>
            <w:vAlign w:val="center"/>
          </w:tcPr>
          <w:p w14:paraId="798747CA">
            <w:pPr>
              <w:jc w:val="center"/>
              <w:rPr>
                <w:rFonts w:hint="eastAsia" w:ascii="宋体" w:hAnsi="宋体" w:eastAsia="宋体" w:cs="宋体"/>
                <w:i w:val="0"/>
                <w:iCs w:val="0"/>
                <w:color w:val="000000"/>
                <w:sz w:val="18"/>
                <w:szCs w:val="18"/>
                <w:u w:val="none"/>
              </w:rPr>
            </w:pPr>
          </w:p>
        </w:tc>
        <w:tc>
          <w:tcPr>
            <w:tcW w:w="615" w:type="dxa"/>
            <w:vMerge w:val="continue"/>
            <w:tcBorders>
              <w:top w:val="single" w:color="000000" w:sz="4" w:space="0"/>
              <w:left w:val="single" w:color="000000" w:sz="4" w:space="0"/>
              <w:bottom w:val="nil"/>
              <w:right w:val="single" w:color="000000" w:sz="4" w:space="0"/>
            </w:tcBorders>
            <w:shd w:val="clear" w:color="auto" w:fill="auto"/>
            <w:vAlign w:val="center"/>
          </w:tcPr>
          <w:p w14:paraId="7DC841CE">
            <w:pPr>
              <w:jc w:val="center"/>
              <w:rPr>
                <w:rFonts w:hint="eastAsia" w:ascii="宋体" w:hAnsi="宋体" w:eastAsia="宋体" w:cs="宋体"/>
                <w:i w:val="0"/>
                <w:iCs w:val="0"/>
                <w:color w:val="000000"/>
                <w:sz w:val="18"/>
                <w:szCs w:val="18"/>
                <w:u w:val="none"/>
              </w:rPr>
            </w:pPr>
          </w:p>
        </w:tc>
        <w:tc>
          <w:tcPr>
            <w:tcW w:w="705" w:type="dxa"/>
            <w:vMerge w:val="continue"/>
            <w:tcBorders>
              <w:top w:val="single" w:color="000000" w:sz="4" w:space="0"/>
              <w:left w:val="single" w:color="000000" w:sz="4" w:space="0"/>
              <w:bottom w:val="nil"/>
              <w:right w:val="single" w:color="000000" w:sz="4" w:space="0"/>
            </w:tcBorders>
            <w:shd w:val="clear" w:color="auto" w:fill="auto"/>
            <w:vAlign w:val="center"/>
          </w:tcPr>
          <w:p w14:paraId="7761A71D">
            <w:pPr>
              <w:jc w:val="center"/>
              <w:rPr>
                <w:rFonts w:hint="eastAsia" w:ascii="宋体" w:hAnsi="宋体" w:eastAsia="宋体" w:cs="宋体"/>
                <w:i w:val="0"/>
                <w:iCs w:val="0"/>
                <w:color w:val="000000"/>
                <w:sz w:val="18"/>
                <w:szCs w:val="18"/>
                <w:u w:val="none"/>
              </w:rPr>
            </w:pPr>
          </w:p>
        </w:tc>
        <w:tc>
          <w:tcPr>
            <w:tcW w:w="1263" w:type="dxa"/>
            <w:tcBorders>
              <w:top w:val="single" w:color="000000" w:sz="4" w:space="0"/>
              <w:left w:val="single" w:color="000000" w:sz="4" w:space="0"/>
              <w:bottom w:val="nil"/>
              <w:right w:val="single" w:color="000000" w:sz="4" w:space="0"/>
            </w:tcBorders>
            <w:shd w:val="clear" w:color="auto" w:fill="auto"/>
            <w:vAlign w:val="center"/>
          </w:tcPr>
          <w:p w14:paraId="735818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购买办公用品合格率</w:t>
            </w:r>
          </w:p>
        </w:tc>
        <w:tc>
          <w:tcPr>
            <w:tcW w:w="619" w:type="dxa"/>
            <w:tcBorders>
              <w:top w:val="single" w:color="000000" w:sz="4" w:space="0"/>
              <w:left w:val="single" w:color="000000" w:sz="4" w:space="0"/>
              <w:bottom w:val="nil"/>
              <w:right w:val="single" w:color="000000" w:sz="4" w:space="0"/>
            </w:tcBorders>
            <w:shd w:val="clear" w:color="auto" w:fill="auto"/>
            <w:vAlign w:val="center"/>
          </w:tcPr>
          <w:p w14:paraId="226848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619" w:type="dxa"/>
            <w:tcBorders>
              <w:top w:val="single" w:color="000000" w:sz="4" w:space="0"/>
              <w:left w:val="single" w:color="000000" w:sz="4" w:space="0"/>
              <w:bottom w:val="nil"/>
              <w:right w:val="single" w:color="000000" w:sz="4" w:space="0"/>
            </w:tcBorders>
            <w:shd w:val="clear" w:color="auto" w:fill="auto"/>
            <w:vAlign w:val="center"/>
          </w:tcPr>
          <w:p w14:paraId="113190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1151" w:type="dxa"/>
            <w:tcBorders>
              <w:top w:val="single" w:color="000000" w:sz="4" w:space="0"/>
              <w:left w:val="single" w:color="000000" w:sz="4" w:space="0"/>
              <w:bottom w:val="nil"/>
              <w:right w:val="single" w:color="000000" w:sz="4" w:space="0"/>
            </w:tcBorders>
            <w:shd w:val="clear" w:color="auto" w:fill="auto"/>
            <w:vAlign w:val="center"/>
          </w:tcPr>
          <w:p w14:paraId="3FA2F6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49" w:type="dxa"/>
            <w:tcBorders>
              <w:top w:val="single" w:color="000000" w:sz="4" w:space="0"/>
              <w:left w:val="single" w:color="000000" w:sz="4" w:space="0"/>
              <w:bottom w:val="nil"/>
              <w:right w:val="single" w:color="000000" w:sz="4" w:space="0"/>
            </w:tcBorders>
            <w:shd w:val="clear" w:color="auto" w:fill="auto"/>
            <w:vAlign w:val="center"/>
          </w:tcPr>
          <w:p w14:paraId="116558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54" w:type="dxa"/>
            <w:tcBorders>
              <w:top w:val="single" w:color="000000" w:sz="4" w:space="0"/>
              <w:left w:val="single" w:color="000000" w:sz="4" w:space="0"/>
              <w:bottom w:val="nil"/>
              <w:right w:val="single" w:color="000000" w:sz="4" w:space="0"/>
            </w:tcBorders>
            <w:shd w:val="clear" w:color="auto" w:fill="auto"/>
            <w:vAlign w:val="center"/>
          </w:tcPr>
          <w:p w14:paraId="519D11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nil"/>
              <w:right w:val="single" w:color="000000" w:sz="4" w:space="0"/>
            </w:tcBorders>
            <w:shd w:val="clear" w:color="auto" w:fill="auto"/>
            <w:vAlign w:val="center"/>
          </w:tcPr>
          <w:p w14:paraId="75AE43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66" w:type="dxa"/>
            <w:tcBorders>
              <w:top w:val="single" w:color="000000" w:sz="4" w:space="0"/>
              <w:left w:val="single" w:color="000000" w:sz="4" w:space="0"/>
              <w:bottom w:val="nil"/>
              <w:right w:val="single" w:color="000000" w:sz="4" w:space="0"/>
            </w:tcBorders>
            <w:shd w:val="clear" w:color="auto" w:fill="auto"/>
            <w:vAlign w:val="center"/>
          </w:tcPr>
          <w:p w14:paraId="053792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478" w:type="dxa"/>
            <w:tcBorders>
              <w:top w:val="single" w:color="000000" w:sz="4" w:space="0"/>
              <w:left w:val="single" w:color="000000" w:sz="4" w:space="0"/>
              <w:bottom w:val="nil"/>
              <w:right w:val="single" w:color="000000" w:sz="4" w:space="0"/>
            </w:tcBorders>
            <w:shd w:val="clear" w:color="auto" w:fill="auto"/>
            <w:vAlign w:val="center"/>
          </w:tcPr>
          <w:p w14:paraId="7906ABD1">
            <w:pPr>
              <w:jc w:val="center"/>
              <w:rPr>
                <w:rFonts w:hint="eastAsia" w:ascii="宋体" w:hAnsi="宋体" w:eastAsia="宋体" w:cs="宋体"/>
                <w:i w:val="0"/>
                <w:iCs w:val="0"/>
                <w:color w:val="000000"/>
                <w:sz w:val="18"/>
                <w:szCs w:val="18"/>
                <w:u w:val="none"/>
              </w:rPr>
            </w:pPr>
          </w:p>
        </w:tc>
      </w:tr>
      <w:tr w14:paraId="0293A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05" w:type="dxa"/>
            <w:vMerge w:val="continue"/>
            <w:tcBorders>
              <w:top w:val="single" w:color="000000" w:sz="4" w:space="0"/>
              <w:left w:val="single" w:color="000000" w:sz="4" w:space="0"/>
              <w:bottom w:val="nil"/>
              <w:right w:val="single" w:color="000000" w:sz="4" w:space="0"/>
            </w:tcBorders>
            <w:shd w:val="clear" w:color="auto" w:fill="auto"/>
            <w:vAlign w:val="center"/>
          </w:tcPr>
          <w:p w14:paraId="1F5A2D95">
            <w:pPr>
              <w:jc w:val="center"/>
              <w:rPr>
                <w:rFonts w:hint="eastAsia" w:ascii="宋体" w:hAnsi="宋体" w:eastAsia="宋体" w:cs="宋体"/>
                <w:i w:val="0"/>
                <w:iCs w:val="0"/>
                <w:color w:val="000000"/>
                <w:sz w:val="18"/>
                <w:szCs w:val="18"/>
                <w:u w:val="none"/>
              </w:rPr>
            </w:pPr>
          </w:p>
        </w:tc>
        <w:tc>
          <w:tcPr>
            <w:tcW w:w="615" w:type="dxa"/>
            <w:vMerge w:val="continue"/>
            <w:tcBorders>
              <w:top w:val="single" w:color="000000" w:sz="4" w:space="0"/>
              <w:left w:val="single" w:color="000000" w:sz="4" w:space="0"/>
              <w:bottom w:val="nil"/>
              <w:right w:val="single" w:color="000000" w:sz="4" w:space="0"/>
            </w:tcBorders>
            <w:shd w:val="clear" w:color="auto" w:fill="auto"/>
            <w:vAlign w:val="center"/>
          </w:tcPr>
          <w:p w14:paraId="62F511E4">
            <w:pPr>
              <w:jc w:val="center"/>
              <w:rPr>
                <w:rFonts w:hint="eastAsia" w:ascii="宋体" w:hAnsi="宋体" w:eastAsia="宋体" w:cs="宋体"/>
                <w:i w:val="0"/>
                <w:iCs w:val="0"/>
                <w:color w:val="000000"/>
                <w:sz w:val="18"/>
                <w:szCs w:val="18"/>
                <w:u w:val="none"/>
              </w:rPr>
            </w:pPr>
          </w:p>
        </w:tc>
        <w:tc>
          <w:tcPr>
            <w:tcW w:w="705" w:type="dxa"/>
            <w:vMerge w:val="continue"/>
            <w:tcBorders>
              <w:top w:val="single" w:color="000000" w:sz="4" w:space="0"/>
              <w:left w:val="single" w:color="000000" w:sz="4" w:space="0"/>
              <w:bottom w:val="nil"/>
              <w:right w:val="single" w:color="000000" w:sz="4" w:space="0"/>
            </w:tcBorders>
            <w:shd w:val="clear" w:color="auto" w:fill="auto"/>
            <w:vAlign w:val="center"/>
          </w:tcPr>
          <w:p w14:paraId="00D50545">
            <w:pPr>
              <w:jc w:val="center"/>
              <w:rPr>
                <w:rFonts w:hint="eastAsia" w:ascii="宋体" w:hAnsi="宋体" w:eastAsia="宋体" w:cs="宋体"/>
                <w:i w:val="0"/>
                <w:iCs w:val="0"/>
                <w:color w:val="000000"/>
                <w:sz w:val="18"/>
                <w:szCs w:val="18"/>
                <w:u w:val="none"/>
              </w:rPr>
            </w:pPr>
          </w:p>
        </w:tc>
        <w:tc>
          <w:tcPr>
            <w:tcW w:w="1263" w:type="dxa"/>
            <w:tcBorders>
              <w:top w:val="single" w:color="000000" w:sz="4" w:space="0"/>
              <w:left w:val="single" w:color="000000" w:sz="4" w:space="0"/>
              <w:bottom w:val="nil"/>
              <w:right w:val="single" w:color="000000" w:sz="4" w:space="0"/>
            </w:tcBorders>
            <w:shd w:val="clear" w:color="auto" w:fill="auto"/>
            <w:vAlign w:val="center"/>
          </w:tcPr>
          <w:p w14:paraId="084606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印刷品验收合格率</w:t>
            </w:r>
          </w:p>
        </w:tc>
        <w:tc>
          <w:tcPr>
            <w:tcW w:w="619" w:type="dxa"/>
            <w:tcBorders>
              <w:top w:val="single" w:color="000000" w:sz="4" w:space="0"/>
              <w:left w:val="single" w:color="000000" w:sz="4" w:space="0"/>
              <w:bottom w:val="nil"/>
              <w:right w:val="single" w:color="000000" w:sz="4" w:space="0"/>
            </w:tcBorders>
            <w:shd w:val="clear" w:color="auto" w:fill="auto"/>
            <w:vAlign w:val="center"/>
          </w:tcPr>
          <w:p w14:paraId="1DCFC5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619" w:type="dxa"/>
            <w:tcBorders>
              <w:top w:val="single" w:color="000000" w:sz="4" w:space="0"/>
              <w:left w:val="single" w:color="000000" w:sz="4" w:space="0"/>
              <w:bottom w:val="nil"/>
              <w:right w:val="single" w:color="000000" w:sz="4" w:space="0"/>
            </w:tcBorders>
            <w:shd w:val="clear" w:color="auto" w:fill="auto"/>
            <w:vAlign w:val="center"/>
          </w:tcPr>
          <w:p w14:paraId="7CE626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等于</w:t>
            </w:r>
          </w:p>
        </w:tc>
        <w:tc>
          <w:tcPr>
            <w:tcW w:w="1151" w:type="dxa"/>
            <w:tcBorders>
              <w:top w:val="single" w:color="000000" w:sz="4" w:space="0"/>
              <w:left w:val="single" w:color="000000" w:sz="4" w:space="0"/>
              <w:bottom w:val="nil"/>
              <w:right w:val="single" w:color="000000" w:sz="4" w:space="0"/>
            </w:tcBorders>
            <w:shd w:val="clear" w:color="auto" w:fill="auto"/>
            <w:vAlign w:val="center"/>
          </w:tcPr>
          <w:p w14:paraId="1B9BCD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049" w:type="dxa"/>
            <w:tcBorders>
              <w:top w:val="single" w:color="000000" w:sz="4" w:space="0"/>
              <w:left w:val="single" w:color="000000" w:sz="4" w:space="0"/>
              <w:bottom w:val="nil"/>
              <w:right w:val="single" w:color="000000" w:sz="4" w:space="0"/>
            </w:tcBorders>
            <w:shd w:val="clear" w:color="auto" w:fill="auto"/>
            <w:vAlign w:val="center"/>
          </w:tcPr>
          <w:p w14:paraId="330696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54" w:type="dxa"/>
            <w:tcBorders>
              <w:top w:val="single" w:color="000000" w:sz="4" w:space="0"/>
              <w:left w:val="single" w:color="000000" w:sz="4" w:space="0"/>
              <w:bottom w:val="nil"/>
              <w:right w:val="single" w:color="000000" w:sz="4" w:space="0"/>
            </w:tcBorders>
            <w:shd w:val="clear" w:color="auto" w:fill="auto"/>
            <w:vAlign w:val="center"/>
          </w:tcPr>
          <w:p w14:paraId="15F13C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nil"/>
              <w:right w:val="single" w:color="000000" w:sz="4" w:space="0"/>
            </w:tcBorders>
            <w:shd w:val="clear" w:color="auto" w:fill="auto"/>
            <w:vAlign w:val="center"/>
          </w:tcPr>
          <w:p w14:paraId="48A6DF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66" w:type="dxa"/>
            <w:tcBorders>
              <w:top w:val="single" w:color="000000" w:sz="4" w:space="0"/>
              <w:left w:val="single" w:color="000000" w:sz="4" w:space="0"/>
              <w:bottom w:val="nil"/>
              <w:right w:val="single" w:color="000000" w:sz="4" w:space="0"/>
            </w:tcBorders>
            <w:shd w:val="clear" w:color="auto" w:fill="auto"/>
            <w:vAlign w:val="center"/>
          </w:tcPr>
          <w:p w14:paraId="51946D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478" w:type="dxa"/>
            <w:tcBorders>
              <w:top w:val="single" w:color="000000" w:sz="4" w:space="0"/>
              <w:left w:val="single" w:color="000000" w:sz="4" w:space="0"/>
              <w:bottom w:val="nil"/>
              <w:right w:val="single" w:color="000000" w:sz="4" w:space="0"/>
            </w:tcBorders>
            <w:shd w:val="clear" w:color="auto" w:fill="auto"/>
            <w:vAlign w:val="center"/>
          </w:tcPr>
          <w:p w14:paraId="3C1D4632">
            <w:pPr>
              <w:jc w:val="center"/>
              <w:rPr>
                <w:rFonts w:hint="eastAsia" w:ascii="宋体" w:hAnsi="宋体" w:eastAsia="宋体" w:cs="宋体"/>
                <w:i w:val="0"/>
                <w:iCs w:val="0"/>
                <w:color w:val="000000"/>
                <w:sz w:val="18"/>
                <w:szCs w:val="18"/>
                <w:u w:val="none"/>
              </w:rPr>
            </w:pPr>
          </w:p>
        </w:tc>
      </w:tr>
      <w:tr w14:paraId="35573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05" w:type="dxa"/>
            <w:vMerge w:val="continue"/>
            <w:tcBorders>
              <w:top w:val="single" w:color="000000" w:sz="4" w:space="0"/>
              <w:left w:val="single" w:color="000000" w:sz="4" w:space="0"/>
              <w:bottom w:val="nil"/>
              <w:right w:val="single" w:color="000000" w:sz="4" w:space="0"/>
            </w:tcBorders>
            <w:shd w:val="clear" w:color="auto" w:fill="auto"/>
            <w:vAlign w:val="center"/>
          </w:tcPr>
          <w:p w14:paraId="16096674">
            <w:pPr>
              <w:jc w:val="center"/>
              <w:rPr>
                <w:rFonts w:hint="eastAsia" w:ascii="宋体" w:hAnsi="宋体" w:eastAsia="宋体" w:cs="宋体"/>
                <w:i w:val="0"/>
                <w:iCs w:val="0"/>
                <w:color w:val="000000"/>
                <w:sz w:val="18"/>
                <w:szCs w:val="18"/>
                <w:u w:val="none"/>
              </w:rPr>
            </w:pPr>
          </w:p>
        </w:tc>
        <w:tc>
          <w:tcPr>
            <w:tcW w:w="615" w:type="dxa"/>
            <w:vMerge w:val="continue"/>
            <w:tcBorders>
              <w:top w:val="single" w:color="000000" w:sz="4" w:space="0"/>
              <w:left w:val="single" w:color="000000" w:sz="4" w:space="0"/>
              <w:bottom w:val="nil"/>
              <w:right w:val="single" w:color="000000" w:sz="4" w:space="0"/>
            </w:tcBorders>
            <w:shd w:val="clear" w:color="auto" w:fill="auto"/>
            <w:vAlign w:val="center"/>
          </w:tcPr>
          <w:p w14:paraId="17833A42">
            <w:pPr>
              <w:jc w:val="center"/>
              <w:rPr>
                <w:rFonts w:hint="eastAsia" w:ascii="宋体" w:hAnsi="宋体" w:eastAsia="宋体" w:cs="宋体"/>
                <w:i w:val="0"/>
                <w:iCs w:val="0"/>
                <w:color w:val="000000"/>
                <w:sz w:val="18"/>
                <w:szCs w:val="18"/>
                <w:u w:val="none"/>
              </w:rPr>
            </w:pPr>
          </w:p>
        </w:tc>
        <w:tc>
          <w:tcPr>
            <w:tcW w:w="705" w:type="dxa"/>
            <w:vMerge w:val="continue"/>
            <w:tcBorders>
              <w:top w:val="single" w:color="000000" w:sz="4" w:space="0"/>
              <w:left w:val="single" w:color="000000" w:sz="4" w:space="0"/>
              <w:bottom w:val="nil"/>
              <w:right w:val="single" w:color="000000" w:sz="4" w:space="0"/>
            </w:tcBorders>
            <w:shd w:val="clear" w:color="auto" w:fill="auto"/>
            <w:vAlign w:val="center"/>
          </w:tcPr>
          <w:p w14:paraId="70E027AC">
            <w:pPr>
              <w:jc w:val="center"/>
              <w:rPr>
                <w:rFonts w:hint="eastAsia" w:ascii="宋体" w:hAnsi="宋体" w:eastAsia="宋体" w:cs="宋体"/>
                <w:i w:val="0"/>
                <w:iCs w:val="0"/>
                <w:color w:val="000000"/>
                <w:sz w:val="18"/>
                <w:szCs w:val="18"/>
                <w:u w:val="none"/>
              </w:rPr>
            </w:pPr>
          </w:p>
        </w:tc>
        <w:tc>
          <w:tcPr>
            <w:tcW w:w="1263" w:type="dxa"/>
            <w:tcBorders>
              <w:top w:val="single" w:color="000000" w:sz="4" w:space="0"/>
              <w:left w:val="single" w:color="000000" w:sz="4" w:space="0"/>
              <w:bottom w:val="nil"/>
              <w:right w:val="single" w:color="000000" w:sz="4" w:space="0"/>
            </w:tcBorders>
            <w:shd w:val="clear" w:color="auto" w:fill="auto"/>
            <w:vAlign w:val="center"/>
          </w:tcPr>
          <w:p w14:paraId="4314C5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委托服务达标率</w:t>
            </w:r>
          </w:p>
        </w:tc>
        <w:tc>
          <w:tcPr>
            <w:tcW w:w="619" w:type="dxa"/>
            <w:tcBorders>
              <w:top w:val="single" w:color="000000" w:sz="4" w:space="0"/>
              <w:left w:val="single" w:color="000000" w:sz="4" w:space="0"/>
              <w:bottom w:val="nil"/>
              <w:right w:val="single" w:color="000000" w:sz="4" w:space="0"/>
            </w:tcBorders>
            <w:shd w:val="clear" w:color="auto" w:fill="auto"/>
            <w:vAlign w:val="center"/>
          </w:tcPr>
          <w:p w14:paraId="71DBD7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619" w:type="dxa"/>
            <w:tcBorders>
              <w:top w:val="single" w:color="000000" w:sz="4" w:space="0"/>
              <w:left w:val="single" w:color="000000" w:sz="4" w:space="0"/>
              <w:bottom w:val="nil"/>
              <w:right w:val="single" w:color="000000" w:sz="4" w:space="0"/>
            </w:tcBorders>
            <w:shd w:val="clear" w:color="auto" w:fill="auto"/>
            <w:vAlign w:val="center"/>
          </w:tcPr>
          <w:p w14:paraId="35AF87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1151" w:type="dxa"/>
            <w:tcBorders>
              <w:top w:val="single" w:color="000000" w:sz="4" w:space="0"/>
              <w:left w:val="single" w:color="000000" w:sz="4" w:space="0"/>
              <w:bottom w:val="nil"/>
              <w:right w:val="single" w:color="000000" w:sz="4" w:space="0"/>
            </w:tcBorders>
            <w:shd w:val="clear" w:color="auto" w:fill="auto"/>
            <w:vAlign w:val="center"/>
          </w:tcPr>
          <w:p w14:paraId="06744E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049" w:type="dxa"/>
            <w:tcBorders>
              <w:top w:val="single" w:color="000000" w:sz="4" w:space="0"/>
              <w:left w:val="single" w:color="000000" w:sz="4" w:space="0"/>
              <w:bottom w:val="nil"/>
              <w:right w:val="single" w:color="000000" w:sz="4" w:space="0"/>
            </w:tcBorders>
            <w:shd w:val="clear" w:color="auto" w:fill="auto"/>
            <w:vAlign w:val="center"/>
          </w:tcPr>
          <w:p w14:paraId="458751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54" w:type="dxa"/>
            <w:tcBorders>
              <w:top w:val="single" w:color="000000" w:sz="4" w:space="0"/>
              <w:left w:val="single" w:color="000000" w:sz="4" w:space="0"/>
              <w:bottom w:val="nil"/>
              <w:right w:val="single" w:color="000000" w:sz="4" w:space="0"/>
            </w:tcBorders>
            <w:shd w:val="clear" w:color="auto" w:fill="auto"/>
            <w:vAlign w:val="center"/>
          </w:tcPr>
          <w:p w14:paraId="06949D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nil"/>
              <w:right w:val="single" w:color="000000" w:sz="4" w:space="0"/>
            </w:tcBorders>
            <w:shd w:val="clear" w:color="auto" w:fill="auto"/>
            <w:vAlign w:val="center"/>
          </w:tcPr>
          <w:p w14:paraId="3FB735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66" w:type="dxa"/>
            <w:tcBorders>
              <w:top w:val="single" w:color="000000" w:sz="4" w:space="0"/>
              <w:left w:val="single" w:color="000000" w:sz="4" w:space="0"/>
              <w:bottom w:val="nil"/>
              <w:right w:val="single" w:color="000000" w:sz="4" w:space="0"/>
            </w:tcBorders>
            <w:shd w:val="clear" w:color="auto" w:fill="auto"/>
            <w:vAlign w:val="center"/>
          </w:tcPr>
          <w:p w14:paraId="395819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478" w:type="dxa"/>
            <w:tcBorders>
              <w:top w:val="single" w:color="000000" w:sz="4" w:space="0"/>
              <w:left w:val="single" w:color="000000" w:sz="4" w:space="0"/>
              <w:bottom w:val="nil"/>
              <w:right w:val="single" w:color="000000" w:sz="4" w:space="0"/>
            </w:tcBorders>
            <w:shd w:val="clear" w:color="auto" w:fill="auto"/>
            <w:vAlign w:val="center"/>
          </w:tcPr>
          <w:p w14:paraId="6333A3CD">
            <w:pPr>
              <w:jc w:val="center"/>
              <w:rPr>
                <w:rFonts w:hint="eastAsia" w:ascii="宋体" w:hAnsi="宋体" w:eastAsia="宋体" w:cs="宋体"/>
                <w:i w:val="0"/>
                <w:iCs w:val="0"/>
                <w:color w:val="000000"/>
                <w:sz w:val="18"/>
                <w:szCs w:val="18"/>
                <w:u w:val="none"/>
              </w:rPr>
            </w:pPr>
          </w:p>
        </w:tc>
      </w:tr>
      <w:tr w14:paraId="3A2AA0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05" w:type="dxa"/>
            <w:vMerge w:val="continue"/>
            <w:tcBorders>
              <w:top w:val="single" w:color="000000" w:sz="4" w:space="0"/>
              <w:left w:val="single" w:color="000000" w:sz="4" w:space="0"/>
              <w:bottom w:val="nil"/>
              <w:right w:val="single" w:color="000000" w:sz="4" w:space="0"/>
            </w:tcBorders>
            <w:shd w:val="clear" w:color="auto" w:fill="auto"/>
            <w:vAlign w:val="center"/>
          </w:tcPr>
          <w:p w14:paraId="7F91E73B">
            <w:pPr>
              <w:jc w:val="center"/>
              <w:rPr>
                <w:rFonts w:hint="eastAsia" w:ascii="宋体" w:hAnsi="宋体" w:eastAsia="宋体" w:cs="宋体"/>
                <w:i w:val="0"/>
                <w:iCs w:val="0"/>
                <w:color w:val="000000"/>
                <w:sz w:val="18"/>
                <w:szCs w:val="18"/>
                <w:u w:val="none"/>
              </w:rPr>
            </w:pPr>
          </w:p>
        </w:tc>
        <w:tc>
          <w:tcPr>
            <w:tcW w:w="615" w:type="dxa"/>
            <w:vMerge w:val="continue"/>
            <w:tcBorders>
              <w:top w:val="single" w:color="000000" w:sz="4" w:space="0"/>
              <w:left w:val="single" w:color="000000" w:sz="4" w:space="0"/>
              <w:bottom w:val="nil"/>
              <w:right w:val="single" w:color="000000" w:sz="4" w:space="0"/>
            </w:tcBorders>
            <w:shd w:val="clear" w:color="auto" w:fill="auto"/>
            <w:vAlign w:val="center"/>
          </w:tcPr>
          <w:p w14:paraId="69E0FE68">
            <w:pPr>
              <w:jc w:val="center"/>
              <w:rPr>
                <w:rFonts w:hint="eastAsia" w:ascii="宋体" w:hAnsi="宋体" w:eastAsia="宋体" w:cs="宋体"/>
                <w:i w:val="0"/>
                <w:iCs w:val="0"/>
                <w:color w:val="000000"/>
                <w:sz w:val="18"/>
                <w:szCs w:val="18"/>
                <w:u w:val="none"/>
              </w:rPr>
            </w:pPr>
          </w:p>
        </w:tc>
        <w:tc>
          <w:tcPr>
            <w:tcW w:w="705" w:type="dxa"/>
            <w:vMerge w:val="restart"/>
            <w:tcBorders>
              <w:top w:val="single" w:color="000000" w:sz="4" w:space="0"/>
              <w:left w:val="single" w:color="000000" w:sz="4" w:space="0"/>
              <w:bottom w:val="nil"/>
              <w:right w:val="single" w:color="000000" w:sz="4" w:space="0"/>
            </w:tcBorders>
            <w:shd w:val="clear" w:color="auto" w:fill="auto"/>
            <w:vAlign w:val="center"/>
          </w:tcPr>
          <w:p w14:paraId="1A7591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263" w:type="dxa"/>
            <w:tcBorders>
              <w:top w:val="single" w:color="000000" w:sz="4" w:space="0"/>
              <w:left w:val="single" w:color="000000" w:sz="4" w:space="0"/>
              <w:bottom w:val="nil"/>
              <w:right w:val="single" w:color="000000" w:sz="4" w:space="0"/>
            </w:tcBorders>
            <w:shd w:val="clear" w:color="auto" w:fill="auto"/>
            <w:vAlign w:val="center"/>
          </w:tcPr>
          <w:p w14:paraId="56D5B2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法定审限内结案率</w:t>
            </w:r>
          </w:p>
        </w:tc>
        <w:tc>
          <w:tcPr>
            <w:tcW w:w="619" w:type="dxa"/>
            <w:tcBorders>
              <w:top w:val="single" w:color="000000" w:sz="4" w:space="0"/>
              <w:left w:val="single" w:color="000000" w:sz="4" w:space="0"/>
              <w:bottom w:val="nil"/>
              <w:right w:val="single" w:color="000000" w:sz="4" w:space="0"/>
            </w:tcBorders>
            <w:shd w:val="clear" w:color="auto" w:fill="auto"/>
            <w:vAlign w:val="center"/>
          </w:tcPr>
          <w:p w14:paraId="3762A6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619" w:type="dxa"/>
            <w:tcBorders>
              <w:top w:val="single" w:color="000000" w:sz="4" w:space="0"/>
              <w:left w:val="single" w:color="000000" w:sz="4" w:space="0"/>
              <w:bottom w:val="nil"/>
              <w:right w:val="single" w:color="000000" w:sz="4" w:space="0"/>
            </w:tcBorders>
            <w:shd w:val="clear" w:color="auto" w:fill="auto"/>
            <w:vAlign w:val="center"/>
          </w:tcPr>
          <w:p w14:paraId="7BF517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1151" w:type="dxa"/>
            <w:tcBorders>
              <w:top w:val="single" w:color="000000" w:sz="4" w:space="0"/>
              <w:left w:val="single" w:color="000000" w:sz="4" w:space="0"/>
              <w:bottom w:val="nil"/>
              <w:right w:val="single" w:color="000000" w:sz="4" w:space="0"/>
            </w:tcBorders>
            <w:shd w:val="clear" w:color="auto" w:fill="auto"/>
            <w:vAlign w:val="center"/>
          </w:tcPr>
          <w:p w14:paraId="3E6A3A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049" w:type="dxa"/>
            <w:tcBorders>
              <w:top w:val="single" w:color="000000" w:sz="4" w:space="0"/>
              <w:left w:val="single" w:color="000000" w:sz="4" w:space="0"/>
              <w:bottom w:val="nil"/>
              <w:right w:val="single" w:color="000000" w:sz="4" w:space="0"/>
            </w:tcBorders>
            <w:shd w:val="clear" w:color="auto" w:fill="auto"/>
            <w:vAlign w:val="center"/>
          </w:tcPr>
          <w:p w14:paraId="79E806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54" w:type="dxa"/>
            <w:tcBorders>
              <w:top w:val="single" w:color="000000" w:sz="4" w:space="0"/>
              <w:left w:val="single" w:color="000000" w:sz="4" w:space="0"/>
              <w:bottom w:val="nil"/>
              <w:right w:val="single" w:color="000000" w:sz="4" w:space="0"/>
            </w:tcBorders>
            <w:shd w:val="clear" w:color="auto" w:fill="auto"/>
            <w:vAlign w:val="center"/>
          </w:tcPr>
          <w:p w14:paraId="3EB7C2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nil"/>
              <w:right w:val="single" w:color="000000" w:sz="4" w:space="0"/>
            </w:tcBorders>
            <w:shd w:val="clear" w:color="auto" w:fill="auto"/>
            <w:vAlign w:val="center"/>
          </w:tcPr>
          <w:p w14:paraId="2550FB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66" w:type="dxa"/>
            <w:tcBorders>
              <w:top w:val="single" w:color="000000" w:sz="4" w:space="0"/>
              <w:left w:val="single" w:color="000000" w:sz="4" w:space="0"/>
              <w:bottom w:val="nil"/>
              <w:right w:val="single" w:color="000000" w:sz="4" w:space="0"/>
            </w:tcBorders>
            <w:shd w:val="clear" w:color="auto" w:fill="auto"/>
            <w:vAlign w:val="center"/>
          </w:tcPr>
          <w:p w14:paraId="50BDF6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478" w:type="dxa"/>
            <w:tcBorders>
              <w:top w:val="single" w:color="000000" w:sz="4" w:space="0"/>
              <w:left w:val="single" w:color="000000" w:sz="4" w:space="0"/>
              <w:bottom w:val="nil"/>
              <w:right w:val="single" w:color="000000" w:sz="4" w:space="0"/>
            </w:tcBorders>
            <w:shd w:val="clear" w:color="auto" w:fill="auto"/>
            <w:vAlign w:val="center"/>
          </w:tcPr>
          <w:p w14:paraId="28461F9C">
            <w:pPr>
              <w:jc w:val="center"/>
              <w:rPr>
                <w:rFonts w:hint="eastAsia" w:ascii="宋体" w:hAnsi="宋体" w:eastAsia="宋体" w:cs="宋体"/>
                <w:i w:val="0"/>
                <w:iCs w:val="0"/>
                <w:color w:val="000000"/>
                <w:sz w:val="18"/>
                <w:szCs w:val="18"/>
                <w:u w:val="none"/>
              </w:rPr>
            </w:pPr>
          </w:p>
        </w:tc>
      </w:tr>
      <w:tr w14:paraId="712ED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05" w:type="dxa"/>
            <w:vMerge w:val="continue"/>
            <w:tcBorders>
              <w:top w:val="single" w:color="000000" w:sz="4" w:space="0"/>
              <w:left w:val="single" w:color="000000" w:sz="4" w:space="0"/>
              <w:bottom w:val="nil"/>
              <w:right w:val="single" w:color="000000" w:sz="4" w:space="0"/>
            </w:tcBorders>
            <w:shd w:val="clear" w:color="auto" w:fill="auto"/>
            <w:vAlign w:val="center"/>
          </w:tcPr>
          <w:p w14:paraId="71BFF960">
            <w:pPr>
              <w:jc w:val="center"/>
              <w:rPr>
                <w:rFonts w:hint="eastAsia" w:ascii="宋体" w:hAnsi="宋体" w:eastAsia="宋体" w:cs="宋体"/>
                <w:i w:val="0"/>
                <w:iCs w:val="0"/>
                <w:color w:val="000000"/>
                <w:sz w:val="18"/>
                <w:szCs w:val="18"/>
                <w:u w:val="none"/>
              </w:rPr>
            </w:pPr>
          </w:p>
        </w:tc>
        <w:tc>
          <w:tcPr>
            <w:tcW w:w="615" w:type="dxa"/>
            <w:vMerge w:val="continue"/>
            <w:tcBorders>
              <w:top w:val="single" w:color="000000" w:sz="4" w:space="0"/>
              <w:left w:val="single" w:color="000000" w:sz="4" w:space="0"/>
              <w:bottom w:val="nil"/>
              <w:right w:val="single" w:color="000000" w:sz="4" w:space="0"/>
            </w:tcBorders>
            <w:shd w:val="clear" w:color="auto" w:fill="auto"/>
            <w:vAlign w:val="center"/>
          </w:tcPr>
          <w:p w14:paraId="790280A5">
            <w:pPr>
              <w:jc w:val="center"/>
              <w:rPr>
                <w:rFonts w:hint="eastAsia" w:ascii="宋体" w:hAnsi="宋体" w:eastAsia="宋体" w:cs="宋体"/>
                <w:i w:val="0"/>
                <w:iCs w:val="0"/>
                <w:color w:val="000000"/>
                <w:sz w:val="18"/>
                <w:szCs w:val="18"/>
                <w:u w:val="none"/>
              </w:rPr>
            </w:pPr>
          </w:p>
        </w:tc>
        <w:tc>
          <w:tcPr>
            <w:tcW w:w="705" w:type="dxa"/>
            <w:vMerge w:val="continue"/>
            <w:tcBorders>
              <w:top w:val="single" w:color="000000" w:sz="4" w:space="0"/>
              <w:left w:val="single" w:color="000000" w:sz="4" w:space="0"/>
              <w:bottom w:val="nil"/>
              <w:right w:val="single" w:color="000000" w:sz="4" w:space="0"/>
            </w:tcBorders>
            <w:shd w:val="clear" w:color="auto" w:fill="auto"/>
            <w:vAlign w:val="center"/>
          </w:tcPr>
          <w:p w14:paraId="7670A646">
            <w:pPr>
              <w:jc w:val="center"/>
              <w:rPr>
                <w:rFonts w:hint="eastAsia" w:ascii="宋体" w:hAnsi="宋体" w:eastAsia="宋体" w:cs="宋体"/>
                <w:i w:val="0"/>
                <w:iCs w:val="0"/>
                <w:color w:val="000000"/>
                <w:sz w:val="18"/>
                <w:szCs w:val="18"/>
                <w:u w:val="none"/>
              </w:rPr>
            </w:pPr>
          </w:p>
        </w:tc>
        <w:tc>
          <w:tcPr>
            <w:tcW w:w="1263" w:type="dxa"/>
            <w:tcBorders>
              <w:top w:val="single" w:color="000000" w:sz="4" w:space="0"/>
              <w:left w:val="single" w:color="000000" w:sz="4" w:space="0"/>
              <w:bottom w:val="nil"/>
              <w:right w:val="single" w:color="000000" w:sz="4" w:space="0"/>
            </w:tcBorders>
            <w:shd w:val="clear" w:color="auto" w:fill="auto"/>
            <w:vAlign w:val="center"/>
          </w:tcPr>
          <w:p w14:paraId="69C2C8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采购办公用品及时率</w:t>
            </w:r>
          </w:p>
        </w:tc>
        <w:tc>
          <w:tcPr>
            <w:tcW w:w="619" w:type="dxa"/>
            <w:tcBorders>
              <w:top w:val="single" w:color="000000" w:sz="4" w:space="0"/>
              <w:left w:val="single" w:color="000000" w:sz="4" w:space="0"/>
              <w:bottom w:val="nil"/>
              <w:right w:val="single" w:color="000000" w:sz="4" w:space="0"/>
            </w:tcBorders>
            <w:shd w:val="clear" w:color="auto" w:fill="auto"/>
            <w:vAlign w:val="center"/>
          </w:tcPr>
          <w:p w14:paraId="76F78B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619" w:type="dxa"/>
            <w:tcBorders>
              <w:top w:val="single" w:color="000000" w:sz="4" w:space="0"/>
              <w:left w:val="single" w:color="000000" w:sz="4" w:space="0"/>
              <w:bottom w:val="nil"/>
              <w:right w:val="single" w:color="000000" w:sz="4" w:space="0"/>
            </w:tcBorders>
            <w:shd w:val="clear" w:color="auto" w:fill="auto"/>
            <w:vAlign w:val="center"/>
          </w:tcPr>
          <w:p w14:paraId="6DE3B4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1151" w:type="dxa"/>
            <w:tcBorders>
              <w:top w:val="single" w:color="000000" w:sz="4" w:space="0"/>
              <w:left w:val="single" w:color="000000" w:sz="4" w:space="0"/>
              <w:bottom w:val="nil"/>
              <w:right w:val="single" w:color="000000" w:sz="4" w:space="0"/>
            </w:tcBorders>
            <w:shd w:val="clear" w:color="auto" w:fill="auto"/>
            <w:vAlign w:val="center"/>
          </w:tcPr>
          <w:p w14:paraId="0B68F7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049" w:type="dxa"/>
            <w:tcBorders>
              <w:top w:val="single" w:color="000000" w:sz="4" w:space="0"/>
              <w:left w:val="single" w:color="000000" w:sz="4" w:space="0"/>
              <w:bottom w:val="nil"/>
              <w:right w:val="single" w:color="000000" w:sz="4" w:space="0"/>
            </w:tcBorders>
            <w:shd w:val="clear" w:color="auto" w:fill="auto"/>
            <w:vAlign w:val="center"/>
          </w:tcPr>
          <w:p w14:paraId="603D33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54" w:type="dxa"/>
            <w:tcBorders>
              <w:top w:val="single" w:color="000000" w:sz="4" w:space="0"/>
              <w:left w:val="single" w:color="000000" w:sz="4" w:space="0"/>
              <w:bottom w:val="nil"/>
              <w:right w:val="single" w:color="000000" w:sz="4" w:space="0"/>
            </w:tcBorders>
            <w:shd w:val="clear" w:color="auto" w:fill="auto"/>
            <w:vAlign w:val="center"/>
          </w:tcPr>
          <w:p w14:paraId="3000AA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nil"/>
              <w:right w:val="single" w:color="000000" w:sz="4" w:space="0"/>
            </w:tcBorders>
            <w:shd w:val="clear" w:color="auto" w:fill="auto"/>
            <w:vAlign w:val="center"/>
          </w:tcPr>
          <w:p w14:paraId="12A53D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66" w:type="dxa"/>
            <w:tcBorders>
              <w:top w:val="single" w:color="000000" w:sz="4" w:space="0"/>
              <w:left w:val="single" w:color="000000" w:sz="4" w:space="0"/>
              <w:bottom w:val="nil"/>
              <w:right w:val="single" w:color="000000" w:sz="4" w:space="0"/>
            </w:tcBorders>
            <w:shd w:val="clear" w:color="auto" w:fill="auto"/>
            <w:vAlign w:val="center"/>
          </w:tcPr>
          <w:p w14:paraId="6EFBA4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478" w:type="dxa"/>
            <w:tcBorders>
              <w:top w:val="single" w:color="000000" w:sz="4" w:space="0"/>
              <w:left w:val="single" w:color="000000" w:sz="4" w:space="0"/>
              <w:bottom w:val="nil"/>
              <w:right w:val="single" w:color="000000" w:sz="4" w:space="0"/>
            </w:tcBorders>
            <w:shd w:val="clear" w:color="auto" w:fill="auto"/>
            <w:vAlign w:val="center"/>
          </w:tcPr>
          <w:p w14:paraId="5E746ADC">
            <w:pPr>
              <w:jc w:val="center"/>
              <w:rPr>
                <w:rFonts w:hint="eastAsia" w:ascii="宋体" w:hAnsi="宋体" w:eastAsia="宋体" w:cs="宋体"/>
                <w:i w:val="0"/>
                <w:iCs w:val="0"/>
                <w:color w:val="000000"/>
                <w:sz w:val="18"/>
                <w:szCs w:val="18"/>
                <w:u w:val="none"/>
              </w:rPr>
            </w:pPr>
          </w:p>
        </w:tc>
      </w:tr>
      <w:tr w14:paraId="07814C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05" w:type="dxa"/>
            <w:vMerge w:val="continue"/>
            <w:tcBorders>
              <w:top w:val="single" w:color="000000" w:sz="4" w:space="0"/>
              <w:left w:val="single" w:color="000000" w:sz="4" w:space="0"/>
              <w:bottom w:val="nil"/>
              <w:right w:val="single" w:color="000000" w:sz="4" w:space="0"/>
            </w:tcBorders>
            <w:shd w:val="clear" w:color="auto" w:fill="auto"/>
            <w:vAlign w:val="center"/>
          </w:tcPr>
          <w:p w14:paraId="0F55E4B6">
            <w:pPr>
              <w:jc w:val="center"/>
              <w:rPr>
                <w:rFonts w:hint="eastAsia" w:ascii="宋体" w:hAnsi="宋体" w:eastAsia="宋体" w:cs="宋体"/>
                <w:i w:val="0"/>
                <w:iCs w:val="0"/>
                <w:color w:val="000000"/>
                <w:sz w:val="18"/>
                <w:szCs w:val="18"/>
                <w:u w:val="none"/>
              </w:rPr>
            </w:pPr>
          </w:p>
        </w:tc>
        <w:tc>
          <w:tcPr>
            <w:tcW w:w="615" w:type="dxa"/>
            <w:vMerge w:val="continue"/>
            <w:tcBorders>
              <w:top w:val="single" w:color="000000" w:sz="4" w:space="0"/>
              <w:left w:val="single" w:color="000000" w:sz="4" w:space="0"/>
              <w:bottom w:val="nil"/>
              <w:right w:val="single" w:color="000000" w:sz="4" w:space="0"/>
            </w:tcBorders>
            <w:shd w:val="clear" w:color="auto" w:fill="auto"/>
            <w:vAlign w:val="center"/>
          </w:tcPr>
          <w:p w14:paraId="1E6D6C66">
            <w:pPr>
              <w:jc w:val="center"/>
              <w:rPr>
                <w:rFonts w:hint="eastAsia" w:ascii="宋体" w:hAnsi="宋体" w:eastAsia="宋体" w:cs="宋体"/>
                <w:i w:val="0"/>
                <w:iCs w:val="0"/>
                <w:color w:val="000000"/>
                <w:sz w:val="18"/>
                <w:szCs w:val="18"/>
                <w:u w:val="none"/>
              </w:rPr>
            </w:pPr>
          </w:p>
        </w:tc>
        <w:tc>
          <w:tcPr>
            <w:tcW w:w="705" w:type="dxa"/>
            <w:vMerge w:val="continue"/>
            <w:tcBorders>
              <w:top w:val="single" w:color="000000" w:sz="4" w:space="0"/>
              <w:left w:val="single" w:color="000000" w:sz="4" w:space="0"/>
              <w:bottom w:val="nil"/>
              <w:right w:val="single" w:color="000000" w:sz="4" w:space="0"/>
            </w:tcBorders>
            <w:shd w:val="clear" w:color="auto" w:fill="auto"/>
            <w:vAlign w:val="center"/>
          </w:tcPr>
          <w:p w14:paraId="0E9B5714">
            <w:pPr>
              <w:jc w:val="center"/>
              <w:rPr>
                <w:rFonts w:hint="eastAsia" w:ascii="宋体" w:hAnsi="宋体" w:eastAsia="宋体" w:cs="宋体"/>
                <w:i w:val="0"/>
                <w:iCs w:val="0"/>
                <w:color w:val="000000"/>
                <w:sz w:val="18"/>
                <w:szCs w:val="18"/>
                <w:u w:val="none"/>
              </w:rPr>
            </w:pPr>
          </w:p>
        </w:tc>
        <w:tc>
          <w:tcPr>
            <w:tcW w:w="1263" w:type="dxa"/>
            <w:tcBorders>
              <w:top w:val="single" w:color="000000" w:sz="4" w:space="0"/>
              <w:left w:val="single" w:color="000000" w:sz="4" w:space="0"/>
              <w:bottom w:val="nil"/>
              <w:right w:val="single" w:color="000000" w:sz="4" w:space="0"/>
            </w:tcBorders>
            <w:shd w:val="clear" w:color="auto" w:fill="auto"/>
            <w:vAlign w:val="center"/>
          </w:tcPr>
          <w:p w14:paraId="2C48C5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资金支付及时率</w:t>
            </w:r>
          </w:p>
        </w:tc>
        <w:tc>
          <w:tcPr>
            <w:tcW w:w="619" w:type="dxa"/>
            <w:tcBorders>
              <w:top w:val="single" w:color="000000" w:sz="4" w:space="0"/>
              <w:left w:val="single" w:color="000000" w:sz="4" w:space="0"/>
              <w:bottom w:val="nil"/>
              <w:right w:val="single" w:color="000000" w:sz="4" w:space="0"/>
            </w:tcBorders>
            <w:shd w:val="clear" w:color="auto" w:fill="auto"/>
            <w:vAlign w:val="center"/>
          </w:tcPr>
          <w:p w14:paraId="4CEC8B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619" w:type="dxa"/>
            <w:tcBorders>
              <w:top w:val="single" w:color="000000" w:sz="4" w:space="0"/>
              <w:left w:val="single" w:color="000000" w:sz="4" w:space="0"/>
              <w:bottom w:val="nil"/>
              <w:right w:val="single" w:color="000000" w:sz="4" w:space="0"/>
            </w:tcBorders>
            <w:shd w:val="clear" w:color="auto" w:fill="auto"/>
            <w:vAlign w:val="center"/>
          </w:tcPr>
          <w:p w14:paraId="47BFD1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1151" w:type="dxa"/>
            <w:tcBorders>
              <w:top w:val="single" w:color="000000" w:sz="4" w:space="0"/>
              <w:left w:val="single" w:color="000000" w:sz="4" w:space="0"/>
              <w:bottom w:val="nil"/>
              <w:right w:val="single" w:color="000000" w:sz="4" w:space="0"/>
            </w:tcBorders>
            <w:shd w:val="clear" w:color="auto" w:fill="auto"/>
            <w:vAlign w:val="center"/>
          </w:tcPr>
          <w:p w14:paraId="720FB8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049" w:type="dxa"/>
            <w:tcBorders>
              <w:top w:val="single" w:color="000000" w:sz="4" w:space="0"/>
              <w:left w:val="single" w:color="000000" w:sz="4" w:space="0"/>
              <w:bottom w:val="nil"/>
              <w:right w:val="single" w:color="000000" w:sz="4" w:space="0"/>
            </w:tcBorders>
            <w:shd w:val="clear" w:color="auto" w:fill="auto"/>
            <w:vAlign w:val="center"/>
          </w:tcPr>
          <w:p w14:paraId="39CDA1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54" w:type="dxa"/>
            <w:tcBorders>
              <w:top w:val="single" w:color="000000" w:sz="4" w:space="0"/>
              <w:left w:val="single" w:color="000000" w:sz="4" w:space="0"/>
              <w:bottom w:val="nil"/>
              <w:right w:val="single" w:color="000000" w:sz="4" w:space="0"/>
            </w:tcBorders>
            <w:shd w:val="clear" w:color="auto" w:fill="auto"/>
            <w:vAlign w:val="center"/>
          </w:tcPr>
          <w:p w14:paraId="529FF3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nil"/>
              <w:right w:val="single" w:color="000000" w:sz="4" w:space="0"/>
            </w:tcBorders>
            <w:shd w:val="clear" w:color="auto" w:fill="auto"/>
            <w:vAlign w:val="center"/>
          </w:tcPr>
          <w:p w14:paraId="105E95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66" w:type="dxa"/>
            <w:tcBorders>
              <w:top w:val="single" w:color="000000" w:sz="4" w:space="0"/>
              <w:left w:val="single" w:color="000000" w:sz="4" w:space="0"/>
              <w:bottom w:val="nil"/>
              <w:right w:val="single" w:color="000000" w:sz="4" w:space="0"/>
            </w:tcBorders>
            <w:shd w:val="clear" w:color="auto" w:fill="auto"/>
            <w:vAlign w:val="center"/>
          </w:tcPr>
          <w:p w14:paraId="65B120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478" w:type="dxa"/>
            <w:tcBorders>
              <w:top w:val="single" w:color="000000" w:sz="4" w:space="0"/>
              <w:left w:val="single" w:color="000000" w:sz="4" w:space="0"/>
              <w:bottom w:val="nil"/>
              <w:right w:val="single" w:color="000000" w:sz="4" w:space="0"/>
            </w:tcBorders>
            <w:shd w:val="clear" w:color="auto" w:fill="auto"/>
            <w:vAlign w:val="center"/>
          </w:tcPr>
          <w:p w14:paraId="12D8DED9">
            <w:pPr>
              <w:jc w:val="center"/>
              <w:rPr>
                <w:rFonts w:hint="eastAsia" w:ascii="宋体" w:hAnsi="宋体" w:eastAsia="宋体" w:cs="宋体"/>
                <w:i w:val="0"/>
                <w:iCs w:val="0"/>
                <w:color w:val="000000"/>
                <w:sz w:val="18"/>
                <w:szCs w:val="18"/>
                <w:u w:val="none"/>
              </w:rPr>
            </w:pPr>
          </w:p>
        </w:tc>
      </w:tr>
      <w:tr w14:paraId="4100ED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05" w:type="dxa"/>
            <w:vMerge w:val="continue"/>
            <w:tcBorders>
              <w:top w:val="single" w:color="000000" w:sz="4" w:space="0"/>
              <w:left w:val="single" w:color="000000" w:sz="4" w:space="0"/>
              <w:bottom w:val="nil"/>
              <w:right w:val="single" w:color="000000" w:sz="4" w:space="0"/>
            </w:tcBorders>
            <w:shd w:val="clear" w:color="auto" w:fill="auto"/>
            <w:vAlign w:val="center"/>
          </w:tcPr>
          <w:p w14:paraId="5BAC2369">
            <w:pPr>
              <w:jc w:val="center"/>
              <w:rPr>
                <w:rFonts w:hint="eastAsia" w:ascii="宋体" w:hAnsi="宋体" w:eastAsia="宋体" w:cs="宋体"/>
                <w:i w:val="0"/>
                <w:iCs w:val="0"/>
                <w:color w:val="000000"/>
                <w:sz w:val="18"/>
                <w:szCs w:val="18"/>
                <w:u w:val="none"/>
              </w:rPr>
            </w:pPr>
          </w:p>
        </w:tc>
        <w:tc>
          <w:tcPr>
            <w:tcW w:w="615" w:type="dxa"/>
            <w:vMerge w:val="continue"/>
            <w:tcBorders>
              <w:top w:val="single" w:color="000000" w:sz="4" w:space="0"/>
              <w:left w:val="single" w:color="000000" w:sz="4" w:space="0"/>
              <w:bottom w:val="nil"/>
              <w:right w:val="single" w:color="000000" w:sz="4" w:space="0"/>
            </w:tcBorders>
            <w:shd w:val="clear" w:color="auto" w:fill="auto"/>
            <w:vAlign w:val="center"/>
          </w:tcPr>
          <w:p w14:paraId="26520919">
            <w:pPr>
              <w:jc w:val="center"/>
              <w:rPr>
                <w:rFonts w:hint="eastAsia" w:ascii="宋体" w:hAnsi="宋体" w:eastAsia="宋体" w:cs="宋体"/>
                <w:i w:val="0"/>
                <w:iCs w:val="0"/>
                <w:color w:val="000000"/>
                <w:sz w:val="18"/>
                <w:szCs w:val="18"/>
                <w:u w:val="none"/>
              </w:rPr>
            </w:pPr>
          </w:p>
        </w:tc>
        <w:tc>
          <w:tcPr>
            <w:tcW w:w="705" w:type="dxa"/>
            <w:vMerge w:val="restart"/>
            <w:tcBorders>
              <w:top w:val="single" w:color="000000" w:sz="4" w:space="0"/>
              <w:left w:val="single" w:color="000000" w:sz="4" w:space="0"/>
              <w:bottom w:val="nil"/>
              <w:right w:val="single" w:color="000000" w:sz="4" w:space="0"/>
            </w:tcBorders>
            <w:shd w:val="clear" w:color="auto" w:fill="auto"/>
            <w:vAlign w:val="center"/>
          </w:tcPr>
          <w:p w14:paraId="2FF55B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263" w:type="dxa"/>
            <w:tcBorders>
              <w:top w:val="single" w:color="000000" w:sz="4" w:space="0"/>
              <w:left w:val="single" w:color="000000" w:sz="4" w:space="0"/>
              <w:bottom w:val="nil"/>
              <w:right w:val="single" w:color="000000" w:sz="4" w:space="0"/>
            </w:tcBorders>
            <w:shd w:val="clear" w:color="auto" w:fill="auto"/>
            <w:vAlign w:val="center"/>
          </w:tcPr>
          <w:p w14:paraId="363C3E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项目总成本</w:t>
            </w:r>
          </w:p>
        </w:tc>
        <w:tc>
          <w:tcPr>
            <w:tcW w:w="619" w:type="dxa"/>
            <w:tcBorders>
              <w:top w:val="single" w:color="000000" w:sz="4" w:space="0"/>
              <w:left w:val="single" w:color="000000" w:sz="4" w:space="0"/>
              <w:bottom w:val="nil"/>
              <w:right w:val="single" w:color="000000" w:sz="4" w:space="0"/>
            </w:tcBorders>
            <w:shd w:val="clear" w:color="auto" w:fill="auto"/>
            <w:vAlign w:val="center"/>
          </w:tcPr>
          <w:p w14:paraId="105DCB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619" w:type="dxa"/>
            <w:tcBorders>
              <w:top w:val="single" w:color="000000" w:sz="4" w:space="0"/>
              <w:left w:val="single" w:color="000000" w:sz="4" w:space="0"/>
              <w:bottom w:val="nil"/>
              <w:right w:val="single" w:color="000000" w:sz="4" w:space="0"/>
            </w:tcBorders>
            <w:shd w:val="clear" w:color="auto" w:fill="auto"/>
            <w:vAlign w:val="center"/>
          </w:tcPr>
          <w:p w14:paraId="2671ED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1151" w:type="dxa"/>
            <w:tcBorders>
              <w:top w:val="single" w:color="000000" w:sz="4" w:space="0"/>
              <w:left w:val="single" w:color="000000" w:sz="4" w:space="0"/>
              <w:bottom w:val="nil"/>
              <w:right w:val="single" w:color="000000" w:sz="4" w:space="0"/>
            </w:tcBorders>
            <w:shd w:val="clear" w:color="auto" w:fill="auto"/>
            <w:vAlign w:val="center"/>
          </w:tcPr>
          <w:p w14:paraId="4D98B4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499</w:t>
            </w:r>
          </w:p>
        </w:tc>
        <w:tc>
          <w:tcPr>
            <w:tcW w:w="1049" w:type="dxa"/>
            <w:tcBorders>
              <w:top w:val="single" w:color="000000" w:sz="4" w:space="0"/>
              <w:left w:val="single" w:color="000000" w:sz="4" w:space="0"/>
              <w:bottom w:val="nil"/>
              <w:right w:val="single" w:color="000000" w:sz="4" w:space="0"/>
            </w:tcBorders>
            <w:shd w:val="clear" w:color="auto" w:fill="auto"/>
            <w:vAlign w:val="center"/>
          </w:tcPr>
          <w:p w14:paraId="00B926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499</w:t>
            </w:r>
          </w:p>
        </w:tc>
        <w:tc>
          <w:tcPr>
            <w:tcW w:w="754" w:type="dxa"/>
            <w:tcBorders>
              <w:top w:val="single" w:color="000000" w:sz="4" w:space="0"/>
              <w:left w:val="single" w:color="000000" w:sz="4" w:space="0"/>
              <w:bottom w:val="nil"/>
              <w:right w:val="single" w:color="000000" w:sz="4" w:space="0"/>
            </w:tcBorders>
            <w:shd w:val="clear" w:color="auto" w:fill="auto"/>
            <w:vAlign w:val="center"/>
          </w:tcPr>
          <w:p w14:paraId="651C56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486" w:type="dxa"/>
            <w:tcBorders>
              <w:top w:val="single" w:color="000000" w:sz="4" w:space="0"/>
              <w:left w:val="single" w:color="000000" w:sz="4" w:space="0"/>
              <w:bottom w:val="nil"/>
              <w:right w:val="single" w:color="000000" w:sz="4" w:space="0"/>
            </w:tcBorders>
            <w:shd w:val="clear" w:color="auto" w:fill="auto"/>
            <w:vAlign w:val="center"/>
          </w:tcPr>
          <w:p w14:paraId="04275E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66" w:type="dxa"/>
            <w:tcBorders>
              <w:top w:val="single" w:color="000000" w:sz="4" w:space="0"/>
              <w:left w:val="single" w:color="000000" w:sz="4" w:space="0"/>
              <w:bottom w:val="nil"/>
              <w:right w:val="single" w:color="000000" w:sz="4" w:space="0"/>
            </w:tcBorders>
            <w:shd w:val="clear" w:color="auto" w:fill="auto"/>
            <w:vAlign w:val="center"/>
          </w:tcPr>
          <w:p w14:paraId="021017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478" w:type="dxa"/>
            <w:tcBorders>
              <w:top w:val="single" w:color="000000" w:sz="4" w:space="0"/>
              <w:left w:val="single" w:color="000000" w:sz="4" w:space="0"/>
              <w:bottom w:val="nil"/>
              <w:right w:val="single" w:color="000000" w:sz="4" w:space="0"/>
            </w:tcBorders>
            <w:shd w:val="clear" w:color="auto" w:fill="auto"/>
            <w:vAlign w:val="center"/>
          </w:tcPr>
          <w:p w14:paraId="4EB56669">
            <w:pPr>
              <w:jc w:val="center"/>
              <w:rPr>
                <w:rFonts w:hint="eastAsia" w:ascii="宋体" w:hAnsi="宋体" w:eastAsia="宋体" w:cs="宋体"/>
                <w:i w:val="0"/>
                <w:iCs w:val="0"/>
                <w:color w:val="000000"/>
                <w:sz w:val="18"/>
                <w:szCs w:val="18"/>
                <w:u w:val="none"/>
              </w:rPr>
            </w:pPr>
          </w:p>
        </w:tc>
      </w:tr>
      <w:tr w14:paraId="219D5D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05" w:type="dxa"/>
            <w:vMerge w:val="continue"/>
            <w:tcBorders>
              <w:top w:val="single" w:color="000000" w:sz="4" w:space="0"/>
              <w:left w:val="single" w:color="000000" w:sz="4" w:space="0"/>
              <w:bottom w:val="nil"/>
              <w:right w:val="single" w:color="000000" w:sz="4" w:space="0"/>
            </w:tcBorders>
            <w:shd w:val="clear" w:color="auto" w:fill="auto"/>
            <w:vAlign w:val="center"/>
          </w:tcPr>
          <w:p w14:paraId="353EE575">
            <w:pPr>
              <w:jc w:val="center"/>
              <w:rPr>
                <w:rFonts w:hint="eastAsia" w:ascii="宋体" w:hAnsi="宋体" w:eastAsia="宋体" w:cs="宋体"/>
                <w:i w:val="0"/>
                <w:iCs w:val="0"/>
                <w:color w:val="000000"/>
                <w:sz w:val="18"/>
                <w:szCs w:val="18"/>
                <w:u w:val="none"/>
              </w:rPr>
            </w:pPr>
          </w:p>
        </w:tc>
        <w:tc>
          <w:tcPr>
            <w:tcW w:w="615" w:type="dxa"/>
            <w:vMerge w:val="continue"/>
            <w:tcBorders>
              <w:top w:val="single" w:color="000000" w:sz="4" w:space="0"/>
              <w:left w:val="single" w:color="000000" w:sz="4" w:space="0"/>
              <w:bottom w:val="nil"/>
              <w:right w:val="single" w:color="000000" w:sz="4" w:space="0"/>
            </w:tcBorders>
            <w:shd w:val="clear" w:color="auto" w:fill="auto"/>
            <w:vAlign w:val="center"/>
          </w:tcPr>
          <w:p w14:paraId="7FDB771C">
            <w:pPr>
              <w:jc w:val="center"/>
              <w:rPr>
                <w:rFonts w:hint="eastAsia" w:ascii="宋体" w:hAnsi="宋体" w:eastAsia="宋体" w:cs="宋体"/>
                <w:i w:val="0"/>
                <w:iCs w:val="0"/>
                <w:color w:val="000000"/>
                <w:sz w:val="18"/>
                <w:szCs w:val="18"/>
                <w:u w:val="none"/>
              </w:rPr>
            </w:pPr>
          </w:p>
        </w:tc>
        <w:tc>
          <w:tcPr>
            <w:tcW w:w="705" w:type="dxa"/>
            <w:vMerge w:val="continue"/>
            <w:tcBorders>
              <w:top w:val="single" w:color="000000" w:sz="4" w:space="0"/>
              <w:left w:val="single" w:color="000000" w:sz="4" w:space="0"/>
              <w:bottom w:val="nil"/>
              <w:right w:val="single" w:color="000000" w:sz="4" w:space="0"/>
            </w:tcBorders>
            <w:shd w:val="clear" w:color="auto" w:fill="auto"/>
            <w:vAlign w:val="center"/>
          </w:tcPr>
          <w:p w14:paraId="73489A47">
            <w:pPr>
              <w:jc w:val="center"/>
              <w:rPr>
                <w:rFonts w:hint="eastAsia" w:ascii="宋体" w:hAnsi="宋体" w:eastAsia="宋体" w:cs="宋体"/>
                <w:i w:val="0"/>
                <w:iCs w:val="0"/>
                <w:color w:val="000000"/>
                <w:sz w:val="18"/>
                <w:szCs w:val="18"/>
                <w:u w:val="none"/>
              </w:rPr>
            </w:pPr>
          </w:p>
        </w:tc>
        <w:tc>
          <w:tcPr>
            <w:tcW w:w="1263" w:type="dxa"/>
            <w:tcBorders>
              <w:top w:val="single" w:color="000000" w:sz="4" w:space="0"/>
              <w:left w:val="single" w:color="000000" w:sz="4" w:space="0"/>
              <w:bottom w:val="nil"/>
              <w:right w:val="single" w:color="000000" w:sz="4" w:space="0"/>
            </w:tcBorders>
            <w:shd w:val="clear" w:color="auto" w:fill="auto"/>
            <w:vAlign w:val="center"/>
          </w:tcPr>
          <w:p w14:paraId="22603A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办公经费</w:t>
            </w:r>
          </w:p>
        </w:tc>
        <w:tc>
          <w:tcPr>
            <w:tcW w:w="619" w:type="dxa"/>
            <w:tcBorders>
              <w:top w:val="single" w:color="000000" w:sz="4" w:space="0"/>
              <w:left w:val="single" w:color="000000" w:sz="4" w:space="0"/>
              <w:bottom w:val="nil"/>
              <w:right w:val="single" w:color="000000" w:sz="4" w:space="0"/>
            </w:tcBorders>
            <w:shd w:val="clear" w:color="auto" w:fill="auto"/>
            <w:vAlign w:val="center"/>
          </w:tcPr>
          <w:p w14:paraId="2921E9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619" w:type="dxa"/>
            <w:tcBorders>
              <w:top w:val="single" w:color="000000" w:sz="4" w:space="0"/>
              <w:left w:val="single" w:color="000000" w:sz="4" w:space="0"/>
              <w:bottom w:val="nil"/>
              <w:right w:val="single" w:color="000000" w:sz="4" w:space="0"/>
            </w:tcBorders>
            <w:shd w:val="clear" w:color="auto" w:fill="auto"/>
            <w:vAlign w:val="center"/>
          </w:tcPr>
          <w:p w14:paraId="573D6B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1151" w:type="dxa"/>
            <w:tcBorders>
              <w:top w:val="single" w:color="000000" w:sz="4" w:space="0"/>
              <w:left w:val="single" w:color="000000" w:sz="4" w:space="0"/>
              <w:bottom w:val="nil"/>
              <w:right w:val="single" w:color="000000" w:sz="4" w:space="0"/>
            </w:tcBorders>
            <w:shd w:val="clear" w:color="auto" w:fill="auto"/>
            <w:vAlign w:val="center"/>
          </w:tcPr>
          <w:p w14:paraId="534198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264.54</w:t>
            </w:r>
          </w:p>
        </w:tc>
        <w:tc>
          <w:tcPr>
            <w:tcW w:w="1049" w:type="dxa"/>
            <w:tcBorders>
              <w:top w:val="single" w:color="000000" w:sz="4" w:space="0"/>
              <w:left w:val="single" w:color="000000" w:sz="4" w:space="0"/>
              <w:bottom w:val="nil"/>
              <w:right w:val="single" w:color="000000" w:sz="4" w:space="0"/>
            </w:tcBorders>
            <w:shd w:val="clear" w:color="auto" w:fill="auto"/>
            <w:vAlign w:val="center"/>
          </w:tcPr>
          <w:p w14:paraId="25E826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286.74</w:t>
            </w:r>
          </w:p>
        </w:tc>
        <w:tc>
          <w:tcPr>
            <w:tcW w:w="754" w:type="dxa"/>
            <w:tcBorders>
              <w:top w:val="single" w:color="000000" w:sz="4" w:space="0"/>
              <w:left w:val="single" w:color="000000" w:sz="4" w:space="0"/>
              <w:bottom w:val="nil"/>
              <w:right w:val="single" w:color="000000" w:sz="4" w:space="0"/>
            </w:tcBorders>
            <w:shd w:val="clear" w:color="auto" w:fill="auto"/>
            <w:vAlign w:val="center"/>
          </w:tcPr>
          <w:p w14:paraId="4303A7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486" w:type="dxa"/>
            <w:tcBorders>
              <w:top w:val="single" w:color="000000" w:sz="4" w:space="0"/>
              <w:left w:val="single" w:color="000000" w:sz="4" w:space="0"/>
              <w:bottom w:val="nil"/>
              <w:right w:val="single" w:color="000000" w:sz="4" w:space="0"/>
            </w:tcBorders>
            <w:shd w:val="clear" w:color="auto" w:fill="auto"/>
            <w:vAlign w:val="center"/>
          </w:tcPr>
          <w:p w14:paraId="3CD947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66" w:type="dxa"/>
            <w:tcBorders>
              <w:top w:val="single" w:color="000000" w:sz="4" w:space="0"/>
              <w:left w:val="single" w:color="000000" w:sz="4" w:space="0"/>
              <w:bottom w:val="nil"/>
              <w:right w:val="single" w:color="000000" w:sz="4" w:space="0"/>
            </w:tcBorders>
            <w:shd w:val="clear" w:color="auto" w:fill="auto"/>
            <w:vAlign w:val="center"/>
          </w:tcPr>
          <w:p w14:paraId="6E83D2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2.75 </w:t>
            </w:r>
          </w:p>
        </w:tc>
        <w:tc>
          <w:tcPr>
            <w:tcW w:w="1478" w:type="dxa"/>
            <w:tcBorders>
              <w:top w:val="single" w:color="000000" w:sz="4" w:space="0"/>
              <w:left w:val="single" w:color="000000" w:sz="4" w:space="0"/>
              <w:bottom w:val="nil"/>
              <w:right w:val="single" w:color="000000" w:sz="4" w:space="0"/>
            </w:tcBorders>
            <w:shd w:val="clear" w:color="auto" w:fill="auto"/>
            <w:vAlign w:val="center"/>
          </w:tcPr>
          <w:p w14:paraId="213015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年初预算编制不准确，提高预算编制水平</w:t>
            </w:r>
          </w:p>
        </w:tc>
      </w:tr>
      <w:tr w14:paraId="56C3CB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05" w:type="dxa"/>
            <w:vMerge w:val="continue"/>
            <w:tcBorders>
              <w:top w:val="single" w:color="000000" w:sz="4" w:space="0"/>
              <w:left w:val="single" w:color="000000" w:sz="4" w:space="0"/>
              <w:bottom w:val="nil"/>
              <w:right w:val="single" w:color="000000" w:sz="4" w:space="0"/>
            </w:tcBorders>
            <w:shd w:val="clear" w:color="auto" w:fill="auto"/>
            <w:vAlign w:val="center"/>
          </w:tcPr>
          <w:p w14:paraId="04C6E8CF">
            <w:pPr>
              <w:jc w:val="center"/>
              <w:rPr>
                <w:rFonts w:hint="eastAsia" w:ascii="宋体" w:hAnsi="宋体" w:eastAsia="宋体" w:cs="宋体"/>
                <w:i w:val="0"/>
                <w:iCs w:val="0"/>
                <w:color w:val="000000"/>
                <w:sz w:val="18"/>
                <w:szCs w:val="18"/>
                <w:u w:val="none"/>
              </w:rPr>
            </w:pPr>
          </w:p>
        </w:tc>
        <w:tc>
          <w:tcPr>
            <w:tcW w:w="615" w:type="dxa"/>
            <w:vMerge w:val="continue"/>
            <w:tcBorders>
              <w:top w:val="single" w:color="000000" w:sz="4" w:space="0"/>
              <w:left w:val="single" w:color="000000" w:sz="4" w:space="0"/>
              <w:bottom w:val="nil"/>
              <w:right w:val="single" w:color="000000" w:sz="4" w:space="0"/>
            </w:tcBorders>
            <w:shd w:val="clear" w:color="auto" w:fill="auto"/>
            <w:vAlign w:val="center"/>
          </w:tcPr>
          <w:p w14:paraId="50EB8830">
            <w:pPr>
              <w:jc w:val="center"/>
              <w:rPr>
                <w:rFonts w:hint="eastAsia" w:ascii="宋体" w:hAnsi="宋体" w:eastAsia="宋体" w:cs="宋体"/>
                <w:i w:val="0"/>
                <w:iCs w:val="0"/>
                <w:color w:val="000000"/>
                <w:sz w:val="18"/>
                <w:szCs w:val="18"/>
                <w:u w:val="none"/>
              </w:rPr>
            </w:pPr>
          </w:p>
        </w:tc>
        <w:tc>
          <w:tcPr>
            <w:tcW w:w="705" w:type="dxa"/>
            <w:vMerge w:val="continue"/>
            <w:tcBorders>
              <w:top w:val="single" w:color="000000" w:sz="4" w:space="0"/>
              <w:left w:val="single" w:color="000000" w:sz="4" w:space="0"/>
              <w:bottom w:val="nil"/>
              <w:right w:val="single" w:color="000000" w:sz="4" w:space="0"/>
            </w:tcBorders>
            <w:shd w:val="clear" w:color="auto" w:fill="auto"/>
            <w:vAlign w:val="center"/>
          </w:tcPr>
          <w:p w14:paraId="7E2EBA62">
            <w:pPr>
              <w:jc w:val="center"/>
              <w:rPr>
                <w:rFonts w:hint="eastAsia" w:ascii="宋体" w:hAnsi="宋体" w:eastAsia="宋体" w:cs="宋体"/>
                <w:i w:val="0"/>
                <w:iCs w:val="0"/>
                <w:color w:val="000000"/>
                <w:sz w:val="18"/>
                <w:szCs w:val="18"/>
                <w:u w:val="none"/>
              </w:rPr>
            </w:pPr>
          </w:p>
        </w:tc>
        <w:tc>
          <w:tcPr>
            <w:tcW w:w="1263" w:type="dxa"/>
            <w:tcBorders>
              <w:top w:val="single" w:color="000000" w:sz="4" w:space="0"/>
              <w:left w:val="single" w:color="000000" w:sz="4" w:space="0"/>
              <w:bottom w:val="nil"/>
              <w:right w:val="single" w:color="000000" w:sz="4" w:space="0"/>
            </w:tcBorders>
            <w:shd w:val="clear" w:color="auto" w:fill="auto"/>
            <w:vAlign w:val="center"/>
          </w:tcPr>
          <w:p w14:paraId="6A6574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委托业务费</w:t>
            </w:r>
          </w:p>
        </w:tc>
        <w:tc>
          <w:tcPr>
            <w:tcW w:w="619" w:type="dxa"/>
            <w:tcBorders>
              <w:top w:val="single" w:color="000000" w:sz="4" w:space="0"/>
              <w:left w:val="single" w:color="000000" w:sz="4" w:space="0"/>
              <w:bottom w:val="nil"/>
              <w:right w:val="single" w:color="000000" w:sz="4" w:space="0"/>
            </w:tcBorders>
            <w:shd w:val="clear" w:color="auto" w:fill="auto"/>
            <w:vAlign w:val="center"/>
          </w:tcPr>
          <w:p w14:paraId="67E0FC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619" w:type="dxa"/>
            <w:tcBorders>
              <w:top w:val="single" w:color="000000" w:sz="4" w:space="0"/>
              <w:left w:val="single" w:color="000000" w:sz="4" w:space="0"/>
              <w:bottom w:val="nil"/>
              <w:right w:val="single" w:color="000000" w:sz="4" w:space="0"/>
            </w:tcBorders>
            <w:shd w:val="clear" w:color="auto" w:fill="auto"/>
            <w:vAlign w:val="center"/>
          </w:tcPr>
          <w:p w14:paraId="4D0CD0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1151" w:type="dxa"/>
            <w:tcBorders>
              <w:top w:val="single" w:color="000000" w:sz="4" w:space="0"/>
              <w:left w:val="single" w:color="000000" w:sz="4" w:space="0"/>
              <w:bottom w:val="nil"/>
              <w:right w:val="single" w:color="000000" w:sz="4" w:space="0"/>
            </w:tcBorders>
            <w:shd w:val="clear" w:color="auto" w:fill="auto"/>
            <w:vAlign w:val="center"/>
          </w:tcPr>
          <w:p w14:paraId="2BC158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111.74</w:t>
            </w:r>
          </w:p>
        </w:tc>
        <w:tc>
          <w:tcPr>
            <w:tcW w:w="1049" w:type="dxa"/>
            <w:tcBorders>
              <w:top w:val="single" w:color="000000" w:sz="4" w:space="0"/>
              <w:left w:val="single" w:color="000000" w:sz="4" w:space="0"/>
              <w:bottom w:val="nil"/>
              <w:right w:val="single" w:color="000000" w:sz="4" w:space="0"/>
            </w:tcBorders>
            <w:shd w:val="clear" w:color="auto" w:fill="auto"/>
            <w:vAlign w:val="center"/>
          </w:tcPr>
          <w:p w14:paraId="7D3ADE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67.1</w:t>
            </w:r>
          </w:p>
        </w:tc>
        <w:tc>
          <w:tcPr>
            <w:tcW w:w="754" w:type="dxa"/>
            <w:tcBorders>
              <w:top w:val="single" w:color="000000" w:sz="4" w:space="0"/>
              <w:left w:val="single" w:color="000000" w:sz="4" w:space="0"/>
              <w:bottom w:val="nil"/>
              <w:right w:val="single" w:color="000000" w:sz="4" w:space="0"/>
            </w:tcBorders>
            <w:shd w:val="clear" w:color="auto" w:fill="auto"/>
            <w:vAlign w:val="center"/>
          </w:tcPr>
          <w:p w14:paraId="7B5659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486" w:type="dxa"/>
            <w:tcBorders>
              <w:top w:val="single" w:color="000000" w:sz="4" w:space="0"/>
              <w:left w:val="single" w:color="000000" w:sz="4" w:space="0"/>
              <w:bottom w:val="nil"/>
              <w:right w:val="single" w:color="000000" w:sz="4" w:space="0"/>
            </w:tcBorders>
            <w:shd w:val="clear" w:color="auto" w:fill="auto"/>
            <w:vAlign w:val="center"/>
          </w:tcPr>
          <w:p w14:paraId="156F6C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66" w:type="dxa"/>
            <w:tcBorders>
              <w:top w:val="single" w:color="000000" w:sz="4" w:space="0"/>
              <w:left w:val="single" w:color="000000" w:sz="4" w:space="0"/>
              <w:bottom w:val="nil"/>
              <w:right w:val="single" w:color="000000" w:sz="4" w:space="0"/>
            </w:tcBorders>
            <w:shd w:val="clear" w:color="auto" w:fill="auto"/>
            <w:vAlign w:val="center"/>
          </w:tcPr>
          <w:p w14:paraId="0F1CDF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78" w:type="dxa"/>
            <w:tcBorders>
              <w:top w:val="single" w:color="000000" w:sz="4" w:space="0"/>
              <w:left w:val="single" w:color="000000" w:sz="4" w:space="0"/>
              <w:bottom w:val="nil"/>
              <w:right w:val="single" w:color="000000" w:sz="4" w:space="0"/>
            </w:tcBorders>
            <w:shd w:val="clear" w:color="auto" w:fill="auto"/>
            <w:vAlign w:val="center"/>
          </w:tcPr>
          <w:p w14:paraId="1E0BEC28">
            <w:pPr>
              <w:jc w:val="center"/>
              <w:rPr>
                <w:rFonts w:hint="eastAsia" w:ascii="宋体" w:hAnsi="宋体" w:eastAsia="宋体" w:cs="宋体"/>
                <w:i w:val="0"/>
                <w:iCs w:val="0"/>
                <w:color w:val="000000"/>
                <w:sz w:val="18"/>
                <w:szCs w:val="18"/>
                <w:u w:val="none"/>
              </w:rPr>
            </w:pPr>
          </w:p>
        </w:tc>
      </w:tr>
      <w:tr w14:paraId="36F9AF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05" w:type="dxa"/>
            <w:vMerge w:val="continue"/>
            <w:tcBorders>
              <w:top w:val="single" w:color="000000" w:sz="4" w:space="0"/>
              <w:left w:val="single" w:color="000000" w:sz="4" w:space="0"/>
              <w:bottom w:val="nil"/>
              <w:right w:val="single" w:color="000000" w:sz="4" w:space="0"/>
            </w:tcBorders>
            <w:shd w:val="clear" w:color="auto" w:fill="auto"/>
            <w:vAlign w:val="center"/>
          </w:tcPr>
          <w:p w14:paraId="5A361CAC">
            <w:pPr>
              <w:jc w:val="center"/>
              <w:rPr>
                <w:rFonts w:hint="eastAsia" w:ascii="宋体" w:hAnsi="宋体" w:eastAsia="宋体" w:cs="宋体"/>
                <w:i w:val="0"/>
                <w:iCs w:val="0"/>
                <w:color w:val="000000"/>
                <w:sz w:val="18"/>
                <w:szCs w:val="18"/>
                <w:u w:val="none"/>
              </w:rPr>
            </w:pPr>
          </w:p>
        </w:tc>
        <w:tc>
          <w:tcPr>
            <w:tcW w:w="615" w:type="dxa"/>
            <w:vMerge w:val="continue"/>
            <w:tcBorders>
              <w:top w:val="single" w:color="000000" w:sz="4" w:space="0"/>
              <w:left w:val="single" w:color="000000" w:sz="4" w:space="0"/>
              <w:bottom w:val="nil"/>
              <w:right w:val="single" w:color="000000" w:sz="4" w:space="0"/>
            </w:tcBorders>
            <w:shd w:val="clear" w:color="auto" w:fill="auto"/>
            <w:vAlign w:val="center"/>
          </w:tcPr>
          <w:p w14:paraId="3B53CFBA">
            <w:pPr>
              <w:jc w:val="center"/>
              <w:rPr>
                <w:rFonts w:hint="eastAsia" w:ascii="宋体" w:hAnsi="宋体" w:eastAsia="宋体" w:cs="宋体"/>
                <w:i w:val="0"/>
                <w:iCs w:val="0"/>
                <w:color w:val="000000"/>
                <w:sz w:val="18"/>
                <w:szCs w:val="18"/>
                <w:u w:val="none"/>
              </w:rPr>
            </w:pPr>
          </w:p>
        </w:tc>
        <w:tc>
          <w:tcPr>
            <w:tcW w:w="705" w:type="dxa"/>
            <w:vMerge w:val="continue"/>
            <w:tcBorders>
              <w:top w:val="single" w:color="000000" w:sz="4" w:space="0"/>
              <w:left w:val="single" w:color="000000" w:sz="4" w:space="0"/>
              <w:bottom w:val="nil"/>
              <w:right w:val="single" w:color="000000" w:sz="4" w:space="0"/>
            </w:tcBorders>
            <w:shd w:val="clear" w:color="auto" w:fill="auto"/>
            <w:vAlign w:val="center"/>
          </w:tcPr>
          <w:p w14:paraId="4AAB9610">
            <w:pPr>
              <w:jc w:val="center"/>
              <w:rPr>
                <w:rFonts w:hint="eastAsia" w:ascii="宋体" w:hAnsi="宋体" w:eastAsia="宋体" w:cs="宋体"/>
                <w:i w:val="0"/>
                <w:iCs w:val="0"/>
                <w:color w:val="000000"/>
                <w:sz w:val="18"/>
                <w:szCs w:val="18"/>
                <w:u w:val="none"/>
              </w:rPr>
            </w:pPr>
          </w:p>
        </w:tc>
        <w:tc>
          <w:tcPr>
            <w:tcW w:w="1263" w:type="dxa"/>
            <w:tcBorders>
              <w:top w:val="single" w:color="000000" w:sz="4" w:space="0"/>
              <w:left w:val="single" w:color="000000" w:sz="4" w:space="0"/>
              <w:bottom w:val="nil"/>
              <w:right w:val="single" w:color="000000" w:sz="4" w:space="0"/>
            </w:tcBorders>
            <w:shd w:val="clear" w:color="auto" w:fill="auto"/>
            <w:vAlign w:val="center"/>
          </w:tcPr>
          <w:p w14:paraId="7FA5DA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公务用车运行维护费</w:t>
            </w:r>
          </w:p>
        </w:tc>
        <w:tc>
          <w:tcPr>
            <w:tcW w:w="619" w:type="dxa"/>
            <w:tcBorders>
              <w:top w:val="single" w:color="000000" w:sz="4" w:space="0"/>
              <w:left w:val="single" w:color="000000" w:sz="4" w:space="0"/>
              <w:bottom w:val="nil"/>
              <w:right w:val="single" w:color="000000" w:sz="4" w:space="0"/>
            </w:tcBorders>
            <w:shd w:val="clear" w:color="auto" w:fill="auto"/>
            <w:vAlign w:val="center"/>
          </w:tcPr>
          <w:p w14:paraId="24B59F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619" w:type="dxa"/>
            <w:tcBorders>
              <w:top w:val="single" w:color="000000" w:sz="4" w:space="0"/>
              <w:left w:val="single" w:color="000000" w:sz="4" w:space="0"/>
              <w:bottom w:val="nil"/>
              <w:right w:val="single" w:color="000000" w:sz="4" w:space="0"/>
            </w:tcBorders>
            <w:shd w:val="clear" w:color="auto" w:fill="auto"/>
            <w:vAlign w:val="center"/>
          </w:tcPr>
          <w:p w14:paraId="42E6D2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1151" w:type="dxa"/>
            <w:tcBorders>
              <w:top w:val="single" w:color="000000" w:sz="4" w:space="0"/>
              <w:left w:val="single" w:color="000000" w:sz="4" w:space="0"/>
              <w:bottom w:val="nil"/>
              <w:right w:val="single" w:color="000000" w:sz="4" w:space="0"/>
            </w:tcBorders>
            <w:shd w:val="clear" w:color="auto" w:fill="auto"/>
            <w:vAlign w:val="center"/>
          </w:tcPr>
          <w:p w14:paraId="302569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049" w:type="dxa"/>
            <w:tcBorders>
              <w:top w:val="single" w:color="000000" w:sz="4" w:space="0"/>
              <w:left w:val="single" w:color="000000" w:sz="4" w:space="0"/>
              <w:bottom w:val="nil"/>
              <w:right w:val="single" w:color="000000" w:sz="4" w:space="0"/>
            </w:tcBorders>
            <w:shd w:val="clear" w:color="auto" w:fill="auto"/>
            <w:vAlign w:val="center"/>
          </w:tcPr>
          <w:p w14:paraId="55C19C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754" w:type="dxa"/>
            <w:tcBorders>
              <w:top w:val="single" w:color="000000" w:sz="4" w:space="0"/>
              <w:left w:val="single" w:color="000000" w:sz="4" w:space="0"/>
              <w:bottom w:val="nil"/>
              <w:right w:val="single" w:color="000000" w:sz="4" w:space="0"/>
            </w:tcBorders>
            <w:shd w:val="clear" w:color="auto" w:fill="auto"/>
            <w:vAlign w:val="center"/>
          </w:tcPr>
          <w:p w14:paraId="4707B5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486" w:type="dxa"/>
            <w:tcBorders>
              <w:top w:val="single" w:color="000000" w:sz="4" w:space="0"/>
              <w:left w:val="single" w:color="000000" w:sz="4" w:space="0"/>
              <w:bottom w:val="nil"/>
              <w:right w:val="single" w:color="000000" w:sz="4" w:space="0"/>
            </w:tcBorders>
            <w:shd w:val="clear" w:color="auto" w:fill="auto"/>
            <w:vAlign w:val="center"/>
          </w:tcPr>
          <w:p w14:paraId="292EF5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666" w:type="dxa"/>
            <w:tcBorders>
              <w:top w:val="single" w:color="000000" w:sz="4" w:space="0"/>
              <w:left w:val="single" w:color="000000" w:sz="4" w:space="0"/>
              <w:bottom w:val="nil"/>
              <w:right w:val="single" w:color="000000" w:sz="4" w:space="0"/>
            </w:tcBorders>
            <w:shd w:val="clear" w:color="auto" w:fill="auto"/>
            <w:vAlign w:val="center"/>
          </w:tcPr>
          <w:p w14:paraId="4C3098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478" w:type="dxa"/>
            <w:tcBorders>
              <w:top w:val="single" w:color="000000" w:sz="4" w:space="0"/>
              <w:left w:val="single" w:color="000000" w:sz="4" w:space="0"/>
              <w:bottom w:val="nil"/>
              <w:right w:val="single" w:color="000000" w:sz="4" w:space="0"/>
            </w:tcBorders>
            <w:shd w:val="clear" w:color="auto" w:fill="auto"/>
            <w:vAlign w:val="center"/>
          </w:tcPr>
          <w:p w14:paraId="672398BA">
            <w:pPr>
              <w:jc w:val="center"/>
              <w:rPr>
                <w:rFonts w:hint="eastAsia" w:ascii="宋体" w:hAnsi="宋体" w:eastAsia="宋体" w:cs="宋体"/>
                <w:i w:val="0"/>
                <w:iCs w:val="0"/>
                <w:color w:val="000000"/>
                <w:sz w:val="18"/>
                <w:szCs w:val="18"/>
                <w:u w:val="none"/>
              </w:rPr>
            </w:pPr>
          </w:p>
        </w:tc>
      </w:tr>
      <w:tr w14:paraId="78382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05" w:type="dxa"/>
            <w:vMerge w:val="continue"/>
            <w:tcBorders>
              <w:top w:val="single" w:color="000000" w:sz="4" w:space="0"/>
              <w:left w:val="single" w:color="000000" w:sz="4" w:space="0"/>
              <w:bottom w:val="nil"/>
              <w:right w:val="single" w:color="000000" w:sz="4" w:space="0"/>
            </w:tcBorders>
            <w:shd w:val="clear" w:color="auto" w:fill="auto"/>
            <w:vAlign w:val="center"/>
          </w:tcPr>
          <w:p w14:paraId="13120FA7">
            <w:pPr>
              <w:jc w:val="center"/>
              <w:rPr>
                <w:rFonts w:hint="eastAsia" w:ascii="宋体" w:hAnsi="宋体" w:eastAsia="宋体" w:cs="宋体"/>
                <w:i w:val="0"/>
                <w:iCs w:val="0"/>
                <w:color w:val="000000"/>
                <w:sz w:val="18"/>
                <w:szCs w:val="18"/>
                <w:u w:val="none"/>
              </w:rPr>
            </w:pPr>
          </w:p>
        </w:tc>
        <w:tc>
          <w:tcPr>
            <w:tcW w:w="615" w:type="dxa"/>
            <w:vMerge w:val="restart"/>
            <w:tcBorders>
              <w:top w:val="single" w:color="000000" w:sz="4" w:space="0"/>
              <w:left w:val="single" w:color="000000" w:sz="4" w:space="0"/>
              <w:bottom w:val="nil"/>
              <w:right w:val="single" w:color="000000" w:sz="4" w:space="0"/>
            </w:tcBorders>
            <w:shd w:val="clear" w:color="auto" w:fill="auto"/>
            <w:vAlign w:val="center"/>
          </w:tcPr>
          <w:p w14:paraId="65A3B4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705" w:type="dxa"/>
            <w:vMerge w:val="restart"/>
            <w:tcBorders>
              <w:top w:val="single" w:color="000000" w:sz="4" w:space="0"/>
              <w:left w:val="single" w:color="000000" w:sz="4" w:space="0"/>
              <w:bottom w:val="nil"/>
              <w:right w:val="single" w:color="000000" w:sz="4" w:space="0"/>
            </w:tcBorders>
            <w:shd w:val="clear" w:color="auto" w:fill="auto"/>
            <w:vAlign w:val="center"/>
          </w:tcPr>
          <w:p w14:paraId="39805E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p>
        </w:tc>
        <w:tc>
          <w:tcPr>
            <w:tcW w:w="1263" w:type="dxa"/>
            <w:tcBorders>
              <w:top w:val="single" w:color="000000" w:sz="4" w:space="0"/>
              <w:left w:val="single" w:color="000000" w:sz="4" w:space="0"/>
              <w:bottom w:val="nil"/>
              <w:right w:val="single" w:color="000000" w:sz="4" w:space="0"/>
            </w:tcBorders>
            <w:shd w:val="clear" w:color="auto" w:fill="auto"/>
            <w:vAlign w:val="center"/>
          </w:tcPr>
          <w:p w14:paraId="6DB9F5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保障检察官队伍的稳定</w:t>
            </w:r>
          </w:p>
        </w:tc>
        <w:tc>
          <w:tcPr>
            <w:tcW w:w="619" w:type="dxa"/>
            <w:tcBorders>
              <w:top w:val="single" w:color="000000" w:sz="4" w:space="0"/>
              <w:left w:val="single" w:color="000000" w:sz="4" w:space="0"/>
              <w:bottom w:val="nil"/>
              <w:right w:val="single" w:color="000000" w:sz="4" w:space="0"/>
            </w:tcBorders>
            <w:shd w:val="clear" w:color="auto" w:fill="auto"/>
            <w:vAlign w:val="center"/>
          </w:tcPr>
          <w:p w14:paraId="50CAAD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619" w:type="dxa"/>
            <w:tcBorders>
              <w:top w:val="single" w:color="000000" w:sz="4" w:space="0"/>
              <w:left w:val="single" w:color="000000" w:sz="4" w:space="0"/>
              <w:bottom w:val="nil"/>
              <w:right w:val="single" w:color="000000" w:sz="4" w:space="0"/>
            </w:tcBorders>
            <w:shd w:val="clear" w:color="auto" w:fill="auto"/>
            <w:vAlign w:val="center"/>
          </w:tcPr>
          <w:p w14:paraId="300172B4">
            <w:pPr>
              <w:jc w:val="center"/>
              <w:rPr>
                <w:rFonts w:hint="eastAsia" w:ascii="宋体" w:hAnsi="宋体" w:eastAsia="宋体" w:cs="宋体"/>
                <w:i w:val="0"/>
                <w:iCs w:val="0"/>
                <w:color w:val="000000"/>
                <w:sz w:val="18"/>
                <w:szCs w:val="18"/>
                <w:u w:val="none"/>
              </w:rPr>
            </w:pPr>
          </w:p>
        </w:tc>
        <w:tc>
          <w:tcPr>
            <w:tcW w:w="1151" w:type="dxa"/>
            <w:tcBorders>
              <w:top w:val="single" w:color="000000" w:sz="4" w:space="0"/>
              <w:left w:val="single" w:color="000000" w:sz="4" w:space="0"/>
              <w:bottom w:val="nil"/>
              <w:right w:val="single" w:color="000000" w:sz="4" w:space="0"/>
            </w:tcBorders>
            <w:shd w:val="clear" w:color="auto" w:fill="auto"/>
            <w:vAlign w:val="center"/>
          </w:tcPr>
          <w:p w14:paraId="5E4254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w:t>
            </w:r>
          </w:p>
        </w:tc>
        <w:tc>
          <w:tcPr>
            <w:tcW w:w="1049" w:type="dxa"/>
            <w:tcBorders>
              <w:top w:val="single" w:color="000000" w:sz="4" w:space="0"/>
              <w:left w:val="single" w:color="000000" w:sz="4" w:space="0"/>
              <w:bottom w:val="nil"/>
              <w:right w:val="single" w:color="000000" w:sz="4" w:space="0"/>
            </w:tcBorders>
            <w:shd w:val="clear" w:color="auto" w:fill="auto"/>
            <w:vAlign w:val="center"/>
          </w:tcPr>
          <w:p w14:paraId="21221D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保障</w:t>
            </w:r>
          </w:p>
        </w:tc>
        <w:tc>
          <w:tcPr>
            <w:tcW w:w="754" w:type="dxa"/>
            <w:tcBorders>
              <w:top w:val="single" w:color="000000" w:sz="4" w:space="0"/>
              <w:left w:val="single" w:color="000000" w:sz="4" w:space="0"/>
              <w:bottom w:val="nil"/>
              <w:right w:val="single" w:color="000000" w:sz="4" w:space="0"/>
            </w:tcBorders>
            <w:shd w:val="clear" w:color="auto" w:fill="auto"/>
            <w:vAlign w:val="center"/>
          </w:tcPr>
          <w:p w14:paraId="3EF8605C">
            <w:pPr>
              <w:jc w:val="center"/>
              <w:rPr>
                <w:rFonts w:hint="eastAsia" w:ascii="宋体" w:hAnsi="宋体" w:eastAsia="宋体" w:cs="宋体"/>
                <w:i w:val="0"/>
                <w:iCs w:val="0"/>
                <w:color w:val="000000"/>
                <w:sz w:val="18"/>
                <w:szCs w:val="18"/>
                <w:u w:val="none"/>
              </w:rPr>
            </w:pPr>
          </w:p>
        </w:tc>
        <w:tc>
          <w:tcPr>
            <w:tcW w:w="486" w:type="dxa"/>
            <w:tcBorders>
              <w:top w:val="single" w:color="000000" w:sz="4" w:space="0"/>
              <w:left w:val="single" w:color="000000" w:sz="4" w:space="0"/>
              <w:bottom w:val="nil"/>
              <w:right w:val="single" w:color="000000" w:sz="4" w:space="0"/>
            </w:tcBorders>
            <w:shd w:val="clear" w:color="auto" w:fill="auto"/>
            <w:vAlign w:val="center"/>
          </w:tcPr>
          <w:p w14:paraId="63B4BE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66" w:type="dxa"/>
            <w:tcBorders>
              <w:top w:val="single" w:color="000000" w:sz="4" w:space="0"/>
              <w:left w:val="single" w:color="000000" w:sz="4" w:space="0"/>
              <w:bottom w:val="nil"/>
              <w:right w:val="single" w:color="000000" w:sz="4" w:space="0"/>
            </w:tcBorders>
            <w:shd w:val="clear" w:color="auto" w:fill="auto"/>
            <w:vAlign w:val="center"/>
          </w:tcPr>
          <w:p w14:paraId="5F48F3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5.63</w:t>
            </w:r>
          </w:p>
        </w:tc>
        <w:tc>
          <w:tcPr>
            <w:tcW w:w="1478" w:type="dxa"/>
            <w:tcBorders>
              <w:top w:val="single" w:color="000000" w:sz="4" w:space="0"/>
              <w:left w:val="single" w:color="000000" w:sz="4" w:space="0"/>
              <w:bottom w:val="nil"/>
              <w:right w:val="single" w:color="000000" w:sz="4" w:space="0"/>
            </w:tcBorders>
            <w:shd w:val="clear" w:color="auto" w:fill="auto"/>
            <w:vAlign w:val="center"/>
          </w:tcPr>
          <w:p w14:paraId="29C8A64C">
            <w:pPr>
              <w:jc w:val="center"/>
              <w:rPr>
                <w:rFonts w:hint="eastAsia" w:ascii="宋体" w:hAnsi="宋体" w:eastAsia="宋体" w:cs="宋体"/>
                <w:i w:val="0"/>
                <w:iCs w:val="0"/>
                <w:color w:val="000000"/>
                <w:sz w:val="18"/>
                <w:szCs w:val="18"/>
                <w:u w:val="none"/>
              </w:rPr>
            </w:pPr>
          </w:p>
        </w:tc>
      </w:tr>
      <w:tr w14:paraId="1E88F7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05" w:type="dxa"/>
            <w:vMerge w:val="continue"/>
            <w:tcBorders>
              <w:top w:val="single" w:color="000000" w:sz="4" w:space="0"/>
              <w:left w:val="single" w:color="000000" w:sz="4" w:space="0"/>
              <w:bottom w:val="nil"/>
              <w:right w:val="single" w:color="000000" w:sz="4" w:space="0"/>
            </w:tcBorders>
            <w:shd w:val="clear" w:color="auto" w:fill="auto"/>
            <w:vAlign w:val="center"/>
          </w:tcPr>
          <w:p w14:paraId="6A8752C8">
            <w:pPr>
              <w:jc w:val="center"/>
              <w:rPr>
                <w:rFonts w:hint="eastAsia" w:ascii="宋体" w:hAnsi="宋体" w:eastAsia="宋体" w:cs="宋体"/>
                <w:i w:val="0"/>
                <w:iCs w:val="0"/>
                <w:color w:val="000000"/>
                <w:sz w:val="18"/>
                <w:szCs w:val="18"/>
                <w:u w:val="none"/>
              </w:rPr>
            </w:pPr>
          </w:p>
        </w:tc>
        <w:tc>
          <w:tcPr>
            <w:tcW w:w="615" w:type="dxa"/>
            <w:vMerge w:val="continue"/>
            <w:tcBorders>
              <w:top w:val="single" w:color="000000" w:sz="4" w:space="0"/>
              <w:left w:val="single" w:color="000000" w:sz="4" w:space="0"/>
              <w:bottom w:val="nil"/>
              <w:right w:val="single" w:color="000000" w:sz="4" w:space="0"/>
            </w:tcBorders>
            <w:shd w:val="clear" w:color="auto" w:fill="auto"/>
            <w:vAlign w:val="center"/>
          </w:tcPr>
          <w:p w14:paraId="3528DA34">
            <w:pPr>
              <w:jc w:val="center"/>
              <w:rPr>
                <w:rFonts w:hint="eastAsia" w:ascii="宋体" w:hAnsi="宋体" w:eastAsia="宋体" w:cs="宋体"/>
                <w:i w:val="0"/>
                <w:iCs w:val="0"/>
                <w:color w:val="000000"/>
                <w:sz w:val="18"/>
                <w:szCs w:val="18"/>
                <w:u w:val="none"/>
              </w:rPr>
            </w:pPr>
          </w:p>
        </w:tc>
        <w:tc>
          <w:tcPr>
            <w:tcW w:w="705" w:type="dxa"/>
            <w:vMerge w:val="continue"/>
            <w:tcBorders>
              <w:top w:val="single" w:color="000000" w:sz="4" w:space="0"/>
              <w:left w:val="single" w:color="000000" w:sz="4" w:space="0"/>
              <w:bottom w:val="nil"/>
              <w:right w:val="single" w:color="000000" w:sz="4" w:space="0"/>
            </w:tcBorders>
            <w:shd w:val="clear" w:color="auto" w:fill="auto"/>
            <w:vAlign w:val="center"/>
          </w:tcPr>
          <w:p w14:paraId="4DC27C4C">
            <w:pPr>
              <w:jc w:val="center"/>
              <w:rPr>
                <w:rFonts w:hint="eastAsia" w:ascii="宋体" w:hAnsi="宋体" w:eastAsia="宋体" w:cs="宋体"/>
                <w:i w:val="0"/>
                <w:iCs w:val="0"/>
                <w:color w:val="000000"/>
                <w:sz w:val="18"/>
                <w:szCs w:val="18"/>
                <w:u w:val="none"/>
              </w:rPr>
            </w:pPr>
          </w:p>
        </w:tc>
        <w:tc>
          <w:tcPr>
            <w:tcW w:w="1263" w:type="dxa"/>
            <w:tcBorders>
              <w:top w:val="single" w:color="000000" w:sz="4" w:space="0"/>
              <w:left w:val="single" w:color="000000" w:sz="4" w:space="0"/>
              <w:bottom w:val="nil"/>
              <w:right w:val="single" w:color="000000" w:sz="4" w:space="0"/>
            </w:tcBorders>
            <w:shd w:val="clear" w:color="auto" w:fill="auto"/>
            <w:vAlign w:val="center"/>
          </w:tcPr>
          <w:p w14:paraId="417453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提升办案质量</w:t>
            </w:r>
          </w:p>
        </w:tc>
        <w:tc>
          <w:tcPr>
            <w:tcW w:w="619" w:type="dxa"/>
            <w:tcBorders>
              <w:top w:val="single" w:color="000000" w:sz="4" w:space="0"/>
              <w:left w:val="single" w:color="000000" w:sz="4" w:space="0"/>
              <w:bottom w:val="nil"/>
              <w:right w:val="single" w:color="000000" w:sz="4" w:space="0"/>
            </w:tcBorders>
            <w:shd w:val="clear" w:color="auto" w:fill="auto"/>
            <w:vAlign w:val="center"/>
          </w:tcPr>
          <w:p w14:paraId="21E846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619" w:type="dxa"/>
            <w:tcBorders>
              <w:top w:val="single" w:color="000000" w:sz="4" w:space="0"/>
              <w:left w:val="single" w:color="000000" w:sz="4" w:space="0"/>
              <w:bottom w:val="nil"/>
              <w:right w:val="single" w:color="000000" w:sz="4" w:space="0"/>
            </w:tcBorders>
            <w:shd w:val="clear" w:color="auto" w:fill="auto"/>
            <w:vAlign w:val="center"/>
          </w:tcPr>
          <w:p w14:paraId="0308BA6C">
            <w:pPr>
              <w:jc w:val="center"/>
              <w:rPr>
                <w:rFonts w:hint="eastAsia" w:ascii="宋体" w:hAnsi="宋体" w:eastAsia="宋体" w:cs="宋体"/>
                <w:i w:val="0"/>
                <w:iCs w:val="0"/>
                <w:color w:val="000000"/>
                <w:sz w:val="18"/>
                <w:szCs w:val="18"/>
                <w:u w:val="none"/>
              </w:rPr>
            </w:pPr>
          </w:p>
        </w:tc>
        <w:tc>
          <w:tcPr>
            <w:tcW w:w="1151" w:type="dxa"/>
            <w:tcBorders>
              <w:top w:val="single" w:color="000000" w:sz="4" w:space="0"/>
              <w:left w:val="single" w:color="000000" w:sz="4" w:space="0"/>
              <w:bottom w:val="nil"/>
              <w:right w:val="single" w:color="000000" w:sz="4" w:space="0"/>
            </w:tcBorders>
            <w:shd w:val="clear" w:color="auto" w:fill="auto"/>
            <w:vAlign w:val="center"/>
          </w:tcPr>
          <w:p w14:paraId="34536B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w:t>
            </w:r>
          </w:p>
        </w:tc>
        <w:tc>
          <w:tcPr>
            <w:tcW w:w="1049" w:type="dxa"/>
            <w:tcBorders>
              <w:top w:val="single" w:color="000000" w:sz="4" w:space="0"/>
              <w:left w:val="single" w:color="000000" w:sz="4" w:space="0"/>
              <w:bottom w:val="nil"/>
              <w:right w:val="single" w:color="000000" w:sz="4" w:space="0"/>
            </w:tcBorders>
            <w:shd w:val="clear" w:color="auto" w:fill="auto"/>
            <w:vAlign w:val="center"/>
          </w:tcPr>
          <w:p w14:paraId="62BD44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w:t>
            </w:r>
          </w:p>
        </w:tc>
        <w:tc>
          <w:tcPr>
            <w:tcW w:w="754" w:type="dxa"/>
            <w:tcBorders>
              <w:top w:val="single" w:color="000000" w:sz="4" w:space="0"/>
              <w:left w:val="single" w:color="000000" w:sz="4" w:space="0"/>
              <w:bottom w:val="nil"/>
              <w:right w:val="single" w:color="000000" w:sz="4" w:space="0"/>
            </w:tcBorders>
            <w:shd w:val="clear" w:color="auto" w:fill="auto"/>
            <w:vAlign w:val="center"/>
          </w:tcPr>
          <w:p w14:paraId="10DB3986">
            <w:pPr>
              <w:jc w:val="center"/>
              <w:rPr>
                <w:rFonts w:hint="eastAsia" w:ascii="宋体" w:hAnsi="宋体" w:eastAsia="宋体" w:cs="宋体"/>
                <w:i w:val="0"/>
                <w:iCs w:val="0"/>
                <w:color w:val="000000"/>
                <w:sz w:val="18"/>
                <w:szCs w:val="18"/>
                <w:u w:val="none"/>
              </w:rPr>
            </w:pPr>
          </w:p>
        </w:tc>
        <w:tc>
          <w:tcPr>
            <w:tcW w:w="486" w:type="dxa"/>
            <w:tcBorders>
              <w:top w:val="single" w:color="000000" w:sz="4" w:space="0"/>
              <w:left w:val="single" w:color="000000" w:sz="4" w:space="0"/>
              <w:bottom w:val="nil"/>
              <w:right w:val="single" w:color="000000" w:sz="4" w:space="0"/>
            </w:tcBorders>
            <w:shd w:val="clear" w:color="auto" w:fill="auto"/>
            <w:vAlign w:val="center"/>
          </w:tcPr>
          <w:p w14:paraId="2549E9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66" w:type="dxa"/>
            <w:tcBorders>
              <w:top w:val="single" w:color="000000" w:sz="4" w:space="0"/>
              <w:left w:val="single" w:color="000000" w:sz="4" w:space="0"/>
              <w:bottom w:val="nil"/>
              <w:right w:val="single" w:color="000000" w:sz="4" w:space="0"/>
            </w:tcBorders>
            <w:shd w:val="clear" w:color="auto" w:fill="auto"/>
            <w:vAlign w:val="center"/>
          </w:tcPr>
          <w:p w14:paraId="7C001E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5.76</w:t>
            </w:r>
          </w:p>
        </w:tc>
        <w:tc>
          <w:tcPr>
            <w:tcW w:w="1478" w:type="dxa"/>
            <w:tcBorders>
              <w:top w:val="single" w:color="000000" w:sz="4" w:space="0"/>
              <w:left w:val="single" w:color="000000" w:sz="4" w:space="0"/>
              <w:bottom w:val="nil"/>
              <w:right w:val="single" w:color="000000" w:sz="4" w:space="0"/>
            </w:tcBorders>
            <w:shd w:val="clear" w:color="auto" w:fill="auto"/>
            <w:vAlign w:val="center"/>
          </w:tcPr>
          <w:p w14:paraId="529D71D8">
            <w:pPr>
              <w:jc w:val="center"/>
              <w:rPr>
                <w:rFonts w:hint="eastAsia" w:ascii="宋体" w:hAnsi="宋体" w:eastAsia="宋体" w:cs="宋体"/>
                <w:i w:val="0"/>
                <w:iCs w:val="0"/>
                <w:color w:val="000000"/>
                <w:sz w:val="18"/>
                <w:szCs w:val="18"/>
                <w:u w:val="none"/>
              </w:rPr>
            </w:pPr>
          </w:p>
        </w:tc>
      </w:tr>
      <w:tr w14:paraId="5E3CC8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05" w:type="dxa"/>
            <w:vMerge w:val="continue"/>
            <w:tcBorders>
              <w:top w:val="single" w:color="000000" w:sz="4" w:space="0"/>
              <w:left w:val="single" w:color="000000" w:sz="4" w:space="0"/>
              <w:bottom w:val="nil"/>
              <w:right w:val="single" w:color="000000" w:sz="4" w:space="0"/>
            </w:tcBorders>
            <w:shd w:val="clear" w:color="auto" w:fill="auto"/>
            <w:vAlign w:val="center"/>
          </w:tcPr>
          <w:p w14:paraId="3F04269D">
            <w:pPr>
              <w:jc w:val="center"/>
              <w:rPr>
                <w:rFonts w:hint="eastAsia" w:ascii="宋体" w:hAnsi="宋体" w:eastAsia="宋体" w:cs="宋体"/>
                <w:i w:val="0"/>
                <w:iCs w:val="0"/>
                <w:color w:val="000000"/>
                <w:sz w:val="18"/>
                <w:szCs w:val="18"/>
                <w:u w:val="none"/>
              </w:rPr>
            </w:pPr>
          </w:p>
        </w:tc>
        <w:tc>
          <w:tcPr>
            <w:tcW w:w="615" w:type="dxa"/>
            <w:vMerge w:val="continue"/>
            <w:tcBorders>
              <w:top w:val="single" w:color="000000" w:sz="4" w:space="0"/>
              <w:left w:val="single" w:color="000000" w:sz="4" w:space="0"/>
              <w:bottom w:val="nil"/>
              <w:right w:val="single" w:color="000000" w:sz="4" w:space="0"/>
            </w:tcBorders>
            <w:shd w:val="clear" w:color="auto" w:fill="auto"/>
            <w:vAlign w:val="center"/>
          </w:tcPr>
          <w:p w14:paraId="0C69AE55">
            <w:pPr>
              <w:jc w:val="center"/>
              <w:rPr>
                <w:rFonts w:hint="eastAsia" w:ascii="宋体" w:hAnsi="宋体" w:eastAsia="宋体" w:cs="宋体"/>
                <w:i w:val="0"/>
                <w:iCs w:val="0"/>
                <w:color w:val="000000"/>
                <w:sz w:val="18"/>
                <w:szCs w:val="18"/>
                <w:u w:val="none"/>
              </w:rPr>
            </w:pPr>
          </w:p>
        </w:tc>
        <w:tc>
          <w:tcPr>
            <w:tcW w:w="705" w:type="dxa"/>
            <w:vMerge w:val="continue"/>
            <w:tcBorders>
              <w:top w:val="single" w:color="000000" w:sz="4" w:space="0"/>
              <w:left w:val="single" w:color="000000" w:sz="4" w:space="0"/>
              <w:bottom w:val="nil"/>
              <w:right w:val="single" w:color="000000" w:sz="4" w:space="0"/>
            </w:tcBorders>
            <w:shd w:val="clear" w:color="auto" w:fill="auto"/>
            <w:vAlign w:val="center"/>
          </w:tcPr>
          <w:p w14:paraId="0EC0A6E4">
            <w:pPr>
              <w:jc w:val="center"/>
              <w:rPr>
                <w:rFonts w:hint="eastAsia" w:ascii="宋体" w:hAnsi="宋体" w:eastAsia="宋体" w:cs="宋体"/>
                <w:i w:val="0"/>
                <w:iCs w:val="0"/>
                <w:color w:val="000000"/>
                <w:sz w:val="18"/>
                <w:szCs w:val="18"/>
                <w:u w:val="none"/>
              </w:rPr>
            </w:pPr>
          </w:p>
        </w:tc>
        <w:tc>
          <w:tcPr>
            <w:tcW w:w="1263" w:type="dxa"/>
            <w:tcBorders>
              <w:top w:val="single" w:color="000000" w:sz="4" w:space="0"/>
              <w:left w:val="single" w:color="000000" w:sz="4" w:space="0"/>
              <w:bottom w:val="nil"/>
              <w:right w:val="single" w:color="000000" w:sz="4" w:space="0"/>
            </w:tcBorders>
            <w:shd w:val="clear" w:color="auto" w:fill="auto"/>
            <w:vAlign w:val="center"/>
          </w:tcPr>
          <w:p w14:paraId="3D53F4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提升办案效率</w:t>
            </w:r>
          </w:p>
        </w:tc>
        <w:tc>
          <w:tcPr>
            <w:tcW w:w="619" w:type="dxa"/>
            <w:tcBorders>
              <w:top w:val="single" w:color="000000" w:sz="4" w:space="0"/>
              <w:left w:val="single" w:color="000000" w:sz="4" w:space="0"/>
              <w:bottom w:val="nil"/>
              <w:right w:val="single" w:color="000000" w:sz="4" w:space="0"/>
            </w:tcBorders>
            <w:shd w:val="clear" w:color="auto" w:fill="auto"/>
            <w:vAlign w:val="center"/>
          </w:tcPr>
          <w:p w14:paraId="1C3758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619" w:type="dxa"/>
            <w:tcBorders>
              <w:top w:val="single" w:color="000000" w:sz="4" w:space="0"/>
              <w:left w:val="single" w:color="000000" w:sz="4" w:space="0"/>
              <w:bottom w:val="nil"/>
              <w:right w:val="single" w:color="000000" w:sz="4" w:space="0"/>
            </w:tcBorders>
            <w:shd w:val="clear" w:color="auto" w:fill="auto"/>
            <w:vAlign w:val="center"/>
          </w:tcPr>
          <w:p w14:paraId="3A39CEAB">
            <w:pPr>
              <w:jc w:val="center"/>
              <w:rPr>
                <w:rFonts w:hint="eastAsia" w:ascii="宋体" w:hAnsi="宋体" w:eastAsia="宋体" w:cs="宋体"/>
                <w:i w:val="0"/>
                <w:iCs w:val="0"/>
                <w:color w:val="000000"/>
                <w:sz w:val="18"/>
                <w:szCs w:val="18"/>
                <w:u w:val="none"/>
              </w:rPr>
            </w:pPr>
          </w:p>
        </w:tc>
        <w:tc>
          <w:tcPr>
            <w:tcW w:w="1151" w:type="dxa"/>
            <w:tcBorders>
              <w:top w:val="single" w:color="000000" w:sz="4" w:space="0"/>
              <w:left w:val="single" w:color="000000" w:sz="4" w:space="0"/>
              <w:bottom w:val="nil"/>
              <w:right w:val="single" w:color="000000" w:sz="4" w:space="0"/>
            </w:tcBorders>
            <w:shd w:val="clear" w:color="auto" w:fill="auto"/>
            <w:vAlign w:val="center"/>
          </w:tcPr>
          <w:p w14:paraId="50F460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w:t>
            </w:r>
          </w:p>
        </w:tc>
        <w:tc>
          <w:tcPr>
            <w:tcW w:w="1049" w:type="dxa"/>
            <w:tcBorders>
              <w:top w:val="single" w:color="000000" w:sz="4" w:space="0"/>
              <w:left w:val="single" w:color="000000" w:sz="4" w:space="0"/>
              <w:bottom w:val="nil"/>
              <w:right w:val="single" w:color="000000" w:sz="4" w:space="0"/>
            </w:tcBorders>
            <w:shd w:val="clear" w:color="auto" w:fill="auto"/>
            <w:vAlign w:val="center"/>
          </w:tcPr>
          <w:p w14:paraId="095B26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w:t>
            </w:r>
          </w:p>
        </w:tc>
        <w:tc>
          <w:tcPr>
            <w:tcW w:w="754" w:type="dxa"/>
            <w:tcBorders>
              <w:top w:val="single" w:color="000000" w:sz="4" w:space="0"/>
              <w:left w:val="single" w:color="000000" w:sz="4" w:space="0"/>
              <w:bottom w:val="nil"/>
              <w:right w:val="single" w:color="000000" w:sz="4" w:space="0"/>
            </w:tcBorders>
            <w:shd w:val="clear" w:color="auto" w:fill="auto"/>
            <w:vAlign w:val="center"/>
          </w:tcPr>
          <w:p w14:paraId="4F27E143">
            <w:pPr>
              <w:jc w:val="center"/>
              <w:rPr>
                <w:rFonts w:hint="eastAsia" w:ascii="宋体" w:hAnsi="宋体" w:eastAsia="宋体" w:cs="宋体"/>
                <w:i w:val="0"/>
                <w:iCs w:val="0"/>
                <w:color w:val="000000"/>
                <w:sz w:val="18"/>
                <w:szCs w:val="18"/>
                <w:u w:val="none"/>
              </w:rPr>
            </w:pPr>
          </w:p>
        </w:tc>
        <w:tc>
          <w:tcPr>
            <w:tcW w:w="486" w:type="dxa"/>
            <w:tcBorders>
              <w:top w:val="single" w:color="000000" w:sz="4" w:space="0"/>
              <w:left w:val="single" w:color="000000" w:sz="4" w:space="0"/>
              <w:bottom w:val="nil"/>
              <w:right w:val="single" w:color="000000" w:sz="4" w:space="0"/>
            </w:tcBorders>
            <w:shd w:val="clear" w:color="auto" w:fill="auto"/>
            <w:vAlign w:val="center"/>
          </w:tcPr>
          <w:p w14:paraId="1E8237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66" w:type="dxa"/>
            <w:tcBorders>
              <w:top w:val="single" w:color="000000" w:sz="4" w:space="0"/>
              <w:left w:val="single" w:color="000000" w:sz="4" w:space="0"/>
              <w:bottom w:val="nil"/>
              <w:right w:val="single" w:color="000000" w:sz="4" w:space="0"/>
            </w:tcBorders>
            <w:shd w:val="clear" w:color="auto" w:fill="auto"/>
            <w:vAlign w:val="center"/>
          </w:tcPr>
          <w:p w14:paraId="613569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5.76</w:t>
            </w:r>
          </w:p>
        </w:tc>
        <w:tc>
          <w:tcPr>
            <w:tcW w:w="1478" w:type="dxa"/>
            <w:tcBorders>
              <w:top w:val="single" w:color="000000" w:sz="4" w:space="0"/>
              <w:left w:val="single" w:color="000000" w:sz="4" w:space="0"/>
              <w:bottom w:val="nil"/>
              <w:right w:val="single" w:color="000000" w:sz="4" w:space="0"/>
            </w:tcBorders>
            <w:shd w:val="clear" w:color="auto" w:fill="auto"/>
            <w:vAlign w:val="center"/>
          </w:tcPr>
          <w:p w14:paraId="30706080">
            <w:pPr>
              <w:jc w:val="center"/>
              <w:rPr>
                <w:rFonts w:hint="eastAsia" w:ascii="宋体" w:hAnsi="宋体" w:eastAsia="宋体" w:cs="宋体"/>
                <w:i w:val="0"/>
                <w:iCs w:val="0"/>
                <w:color w:val="000000"/>
                <w:sz w:val="18"/>
                <w:szCs w:val="18"/>
                <w:u w:val="none"/>
              </w:rPr>
            </w:pPr>
          </w:p>
        </w:tc>
      </w:tr>
      <w:tr w14:paraId="28A69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05" w:type="dxa"/>
            <w:vMerge w:val="continue"/>
            <w:tcBorders>
              <w:top w:val="single" w:color="000000" w:sz="4" w:space="0"/>
              <w:left w:val="single" w:color="000000" w:sz="4" w:space="0"/>
              <w:bottom w:val="nil"/>
              <w:right w:val="single" w:color="000000" w:sz="4" w:space="0"/>
            </w:tcBorders>
            <w:shd w:val="clear" w:color="auto" w:fill="auto"/>
            <w:vAlign w:val="center"/>
          </w:tcPr>
          <w:p w14:paraId="0C8629E2">
            <w:pPr>
              <w:jc w:val="center"/>
              <w:rPr>
                <w:rFonts w:hint="eastAsia" w:ascii="宋体" w:hAnsi="宋体" w:eastAsia="宋体" w:cs="宋体"/>
                <w:i w:val="0"/>
                <w:iCs w:val="0"/>
                <w:color w:val="000000"/>
                <w:sz w:val="18"/>
                <w:szCs w:val="18"/>
                <w:u w:val="none"/>
              </w:rPr>
            </w:pPr>
          </w:p>
        </w:tc>
        <w:tc>
          <w:tcPr>
            <w:tcW w:w="615" w:type="dxa"/>
            <w:vMerge w:val="continue"/>
            <w:tcBorders>
              <w:top w:val="single" w:color="000000" w:sz="4" w:space="0"/>
              <w:left w:val="single" w:color="000000" w:sz="4" w:space="0"/>
              <w:bottom w:val="nil"/>
              <w:right w:val="single" w:color="000000" w:sz="4" w:space="0"/>
            </w:tcBorders>
            <w:shd w:val="clear" w:color="auto" w:fill="auto"/>
            <w:vAlign w:val="center"/>
          </w:tcPr>
          <w:p w14:paraId="7B22BB70">
            <w:pPr>
              <w:jc w:val="center"/>
              <w:rPr>
                <w:rFonts w:hint="eastAsia" w:ascii="宋体" w:hAnsi="宋体" w:eastAsia="宋体" w:cs="宋体"/>
                <w:i w:val="0"/>
                <w:iCs w:val="0"/>
                <w:color w:val="000000"/>
                <w:sz w:val="18"/>
                <w:szCs w:val="18"/>
                <w:u w:val="none"/>
              </w:rPr>
            </w:pPr>
          </w:p>
        </w:tc>
        <w:tc>
          <w:tcPr>
            <w:tcW w:w="705" w:type="dxa"/>
            <w:vMerge w:val="restart"/>
            <w:tcBorders>
              <w:top w:val="single" w:color="000000" w:sz="4" w:space="0"/>
              <w:left w:val="single" w:color="000000" w:sz="4" w:space="0"/>
              <w:bottom w:val="nil"/>
              <w:right w:val="single" w:color="000000" w:sz="4" w:space="0"/>
            </w:tcBorders>
            <w:shd w:val="clear" w:color="auto" w:fill="auto"/>
            <w:vAlign w:val="center"/>
          </w:tcPr>
          <w:p w14:paraId="13B187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w:t>
            </w:r>
          </w:p>
        </w:tc>
        <w:tc>
          <w:tcPr>
            <w:tcW w:w="1263" w:type="dxa"/>
            <w:tcBorders>
              <w:top w:val="single" w:color="000000" w:sz="4" w:space="0"/>
              <w:left w:val="single" w:color="000000" w:sz="4" w:space="0"/>
              <w:bottom w:val="nil"/>
              <w:right w:val="single" w:color="000000" w:sz="4" w:space="0"/>
            </w:tcBorders>
            <w:shd w:val="clear" w:color="auto" w:fill="auto"/>
            <w:vAlign w:val="center"/>
          </w:tcPr>
          <w:p w14:paraId="4AC581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加强社会主义法制建设</w:t>
            </w:r>
          </w:p>
        </w:tc>
        <w:tc>
          <w:tcPr>
            <w:tcW w:w="619" w:type="dxa"/>
            <w:tcBorders>
              <w:top w:val="single" w:color="000000" w:sz="4" w:space="0"/>
              <w:left w:val="single" w:color="000000" w:sz="4" w:space="0"/>
              <w:bottom w:val="nil"/>
              <w:right w:val="single" w:color="000000" w:sz="4" w:space="0"/>
            </w:tcBorders>
            <w:shd w:val="clear" w:color="auto" w:fill="auto"/>
            <w:vAlign w:val="center"/>
          </w:tcPr>
          <w:p w14:paraId="3AEBAD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619" w:type="dxa"/>
            <w:tcBorders>
              <w:top w:val="single" w:color="000000" w:sz="4" w:space="0"/>
              <w:left w:val="single" w:color="000000" w:sz="4" w:space="0"/>
              <w:bottom w:val="nil"/>
              <w:right w:val="single" w:color="000000" w:sz="4" w:space="0"/>
            </w:tcBorders>
            <w:shd w:val="clear" w:color="auto" w:fill="auto"/>
            <w:vAlign w:val="center"/>
          </w:tcPr>
          <w:p w14:paraId="73A18529">
            <w:pPr>
              <w:jc w:val="center"/>
              <w:rPr>
                <w:rFonts w:hint="eastAsia" w:ascii="宋体" w:hAnsi="宋体" w:eastAsia="宋体" w:cs="宋体"/>
                <w:i w:val="0"/>
                <w:iCs w:val="0"/>
                <w:color w:val="000000"/>
                <w:sz w:val="18"/>
                <w:szCs w:val="18"/>
                <w:u w:val="none"/>
              </w:rPr>
            </w:pPr>
          </w:p>
        </w:tc>
        <w:tc>
          <w:tcPr>
            <w:tcW w:w="1151" w:type="dxa"/>
            <w:tcBorders>
              <w:top w:val="single" w:color="000000" w:sz="4" w:space="0"/>
              <w:left w:val="single" w:color="000000" w:sz="4" w:space="0"/>
              <w:bottom w:val="nil"/>
              <w:right w:val="single" w:color="000000" w:sz="4" w:space="0"/>
            </w:tcBorders>
            <w:shd w:val="clear" w:color="auto" w:fill="auto"/>
            <w:vAlign w:val="center"/>
          </w:tcPr>
          <w:p w14:paraId="303EA4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加强</w:t>
            </w:r>
          </w:p>
        </w:tc>
        <w:tc>
          <w:tcPr>
            <w:tcW w:w="1049" w:type="dxa"/>
            <w:tcBorders>
              <w:top w:val="single" w:color="000000" w:sz="4" w:space="0"/>
              <w:left w:val="single" w:color="000000" w:sz="4" w:space="0"/>
              <w:bottom w:val="nil"/>
              <w:right w:val="single" w:color="000000" w:sz="4" w:space="0"/>
            </w:tcBorders>
            <w:shd w:val="clear" w:color="auto" w:fill="auto"/>
            <w:vAlign w:val="center"/>
          </w:tcPr>
          <w:p w14:paraId="0C5B96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加强</w:t>
            </w:r>
          </w:p>
        </w:tc>
        <w:tc>
          <w:tcPr>
            <w:tcW w:w="754" w:type="dxa"/>
            <w:tcBorders>
              <w:top w:val="single" w:color="000000" w:sz="4" w:space="0"/>
              <w:left w:val="single" w:color="000000" w:sz="4" w:space="0"/>
              <w:bottom w:val="nil"/>
              <w:right w:val="single" w:color="000000" w:sz="4" w:space="0"/>
            </w:tcBorders>
            <w:shd w:val="clear" w:color="auto" w:fill="auto"/>
            <w:vAlign w:val="center"/>
          </w:tcPr>
          <w:p w14:paraId="1F3179FB">
            <w:pPr>
              <w:jc w:val="center"/>
              <w:rPr>
                <w:rFonts w:hint="eastAsia" w:ascii="宋体" w:hAnsi="宋体" w:eastAsia="宋体" w:cs="宋体"/>
                <w:i w:val="0"/>
                <w:iCs w:val="0"/>
                <w:color w:val="000000"/>
                <w:sz w:val="18"/>
                <w:szCs w:val="18"/>
                <w:u w:val="none"/>
              </w:rPr>
            </w:pPr>
          </w:p>
        </w:tc>
        <w:tc>
          <w:tcPr>
            <w:tcW w:w="486" w:type="dxa"/>
            <w:tcBorders>
              <w:top w:val="single" w:color="000000" w:sz="4" w:space="0"/>
              <w:left w:val="single" w:color="000000" w:sz="4" w:space="0"/>
              <w:bottom w:val="nil"/>
              <w:right w:val="single" w:color="000000" w:sz="4" w:space="0"/>
            </w:tcBorders>
            <w:shd w:val="clear" w:color="auto" w:fill="auto"/>
            <w:vAlign w:val="center"/>
          </w:tcPr>
          <w:p w14:paraId="207793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66" w:type="dxa"/>
            <w:tcBorders>
              <w:top w:val="single" w:color="000000" w:sz="4" w:space="0"/>
              <w:left w:val="single" w:color="000000" w:sz="4" w:space="0"/>
              <w:bottom w:val="nil"/>
              <w:right w:val="single" w:color="000000" w:sz="4" w:space="0"/>
            </w:tcBorders>
            <w:shd w:val="clear" w:color="auto" w:fill="auto"/>
            <w:vAlign w:val="center"/>
          </w:tcPr>
          <w:p w14:paraId="224401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478" w:type="dxa"/>
            <w:tcBorders>
              <w:top w:val="single" w:color="000000" w:sz="4" w:space="0"/>
              <w:left w:val="single" w:color="000000" w:sz="4" w:space="0"/>
              <w:bottom w:val="nil"/>
              <w:right w:val="single" w:color="000000" w:sz="4" w:space="0"/>
            </w:tcBorders>
            <w:shd w:val="clear" w:color="auto" w:fill="auto"/>
            <w:vAlign w:val="center"/>
          </w:tcPr>
          <w:p w14:paraId="2F67BEA1">
            <w:pPr>
              <w:jc w:val="center"/>
              <w:rPr>
                <w:rFonts w:hint="eastAsia" w:ascii="宋体" w:hAnsi="宋体" w:eastAsia="宋体" w:cs="宋体"/>
                <w:i w:val="0"/>
                <w:iCs w:val="0"/>
                <w:color w:val="000000"/>
                <w:sz w:val="18"/>
                <w:szCs w:val="18"/>
                <w:u w:val="none"/>
              </w:rPr>
            </w:pPr>
          </w:p>
        </w:tc>
      </w:tr>
      <w:tr w14:paraId="1AF7E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05" w:type="dxa"/>
            <w:vMerge w:val="continue"/>
            <w:tcBorders>
              <w:top w:val="single" w:color="000000" w:sz="4" w:space="0"/>
              <w:left w:val="single" w:color="000000" w:sz="4" w:space="0"/>
              <w:bottom w:val="nil"/>
              <w:right w:val="single" w:color="000000" w:sz="4" w:space="0"/>
            </w:tcBorders>
            <w:shd w:val="clear" w:color="auto" w:fill="auto"/>
            <w:vAlign w:val="center"/>
          </w:tcPr>
          <w:p w14:paraId="373D1204">
            <w:pPr>
              <w:jc w:val="center"/>
              <w:rPr>
                <w:rFonts w:hint="eastAsia" w:ascii="宋体" w:hAnsi="宋体" w:eastAsia="宋体" w:cs="宋体"/>
                <w:i w:val="0"/>
                <w:iCs w:val="0"/>
                <w:color w:val="000000"/>
                <w:sz w:val="18"/>
                <w:szCs w:val="18"/>
                <w:u w:val="none"/>
              </w:rPr>
            </w:pPr>
          </w:p>
        </w:tc>
        <w:tc>
          <w:tcPr>
            <w:tcW w:w="615" w:type="dxa"/>
            <w:vMerge w:val="continue"/>
            <w:tcBorders>
              <w:top w:val="single" w:color="000000" w:sz="4" w:space="0"/>
              <w:left w:val="single" w:color="000000" w:sz="4" w:space="0"/>
              <w:bottom w:val="nil"/>
              <w:right w:val="single" w:color="000000" w:sz="4" w:space="0"/>
            </w:tcBorders>
            <w:shd w:val="clear" w:color="auto" w:fill="auto"/>
            <w:vAlign w:val="center"/>
          </w:tcPr>
          <w:p w14:paraId="1943B6B2">
            <w:pPr>
              <w:jc w:val="center"/>
              <w:rPr>
                <w:rFonts w:hint="eastAsia" w:ascii="宋体" w:hAnsi="宋体" w:eastAsia="宋体" w:cs="宋体"/>
                <w:i w:val="0"/>
                <w:iCs w:val="0"/>
                <w:color w:val="000000"/>
                <w:sz w:val="18"/>
                <w:szCs w:val="18"/>
                <w:u w:val="none"/>
              </w:rPr>
            </w:pPr>
          </w:p>
        </w:tc>
        <w:tc>
          <w:tcPr>
            <w:tcW w:w="705" w:type="dxa"/>
            <w:vMerge w:val="continue"/>
            <w:tcBorders>
              <w:top w:val="single" w:color="000000" w:sz="4" w:space="0"/>
              <w:left w:val="single" w:color="000000" w:sz="4" w:space="0"/>
              <w:bottom w:val="nil"/>
              <w:right w:val="single" w:color="000000" w:sz="4" w:space="0"/>
            </w:tcBorders>
            <w:shd w:val="clear" w:color="auto" w:fill="auto"/>
            <w:vAlign w:val="center"/>
          </w:tcPr>
          <w:p w14:paraId="0184E527">
            <w:pPr>
              <w:jc w:val="center"/>
              <w:rPr>
                <w:rFonts w:hint="eastAsia" w:ascii="宋体" w:hAnsi="宋体" w:eastAsia="宋体" w:cs="宋体"/>
                <w:i w:val="0"/>
                <w:iCs w:val="0"/>
                <w:color w:val="000000"/>
                <w:sz w:val="18"/>
                <w:szCs w:val="18"/>
                <w:u w:val="none"/>
              </w:rPr>
            </w:pPr>
          </w:p>
        </w:tc>
        <w:tc>
          <w:tcPr>
            <w:tcW w:w="1263" w:type="dxa"/>
            <w:tcBorders>
              <w:top w:val="single" w:color="000000" w:sz="4" w:space="0"/>
              <w:left w:val="single" w:color="000000" w:sz="4" w:space="0"/>
              <w:bottom w:val="nil"/>
              <w:right w:val="single" w:color="000000" w:sz="4" w:space="0"/>
            </w:tcBorders>
            <w:shd w:val="clear" w:color="auto" w:fill="auto"/>
            <w:vAlign w:val="center"/>
          </w:tcPr>
          <w:p w14:paraId="03C0BF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可持续影响期限</w:t>
            </w:r>
          </w:p>
        </w:tc>
        <w:tc>
          <w:tcPr>
            <w:tcW w:w="619" w:type="dxa"/>
            <w:tcBorders>
              <w:top w:val="single" w:color="000000" w:sz="4" w:space="0"/>
              <w:left w:val="single" w:color="000000" w:sz="4" w:space="0"/>
              <w:bottom w:val="nil"/>
              <w:right w:val="single" w:color="000000" w:sz="4" w:space="0"/>
            </w:tcBorders>
            <w:shd w:val="clear" w:color="auto" w:fill="auto"/>
            <w:vAlign w:val="center"/>
          </w:tcPr>
          <w:p w14:paraId="54EF3A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619" w:type="dxa"/>
            <w:tcBorders>
              <w:top w:val="single" w:color="000000" w:sz="4" w:space="0"/>
              <w:left w:val="single" w:color="000000" w:sz="4" w:space="0"/>
              <w:bottom w:val="nil"/>
              <w:right w:val="single" w:color="000000" w:sz="4" w:space="0"/>
            </w:tcBorders>
            <w:shd w:val="clear" w:color="auto" w:fill="auto"/>
            <w:vAlign w:val="center"/>
          </w:tcPr>
          <w:p w14:paraId="3FC9F816">
            <w:pPr>
              <w:jc w:val="center"/>
              <w:rPr>
                <w:rFonts w:hint="eastAsia" w:ascii="宋体" w:hAnsi="宋体" w:eastAsia="宋体" w:cs="宋体"/>
                <w:i w:val="0"/>
                <w:iCs w:val="0"/>
                <w:color w:val="000000"/>
                <w:sz w:val="18"/>
                <w:szCs w:val="18"/>
                <w:u w:val="none"/>
              </w:rPr>
            </w:pPr>
          </w:p>
        </w:tc>
        <w:tc>
          <w:tcPr>
            <w:tcW w:w="1151" w:type="dxa"/>
            <w:tcBorders>
              <w:top w:val="single" w:color="000000" w:sz="4" w:space="0"/>
              <w:left w:val="single" w:color="000000" w:sz="4" w:space="0"/>
              <w:bottom w:val="nil"/>
              <w:right w:val="single" w:color="000000" w:sz="4" w:space="0"/>
            </w:tcBorders>
            <w:shd w:val="clear" w:color="auto" w:fill="auto"/>
            <w:vAlign w:val="center"/>
          </w:tcPr>
          <w:p w14:paraId="50FE9E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w:t>
            </w:r>
          </w:p>
        </w:tc>
        <w:tc>
          <w:tcPr>
            <w:tcW w:w="1049" w:type="dxa"/>
            <w:tcBorders>
              <w:top w:val="single" w:color="000000" w:sz="4" w:space="0"/>
              <w:left w:val="single" w:color="000000" w:sz="4" w:space="0"/>
              <w:bottom w:val="nil"/>
              <w:right w:val="single" w:color="000000" w:sz="4" w:space="0"/>
            </w:tcBorders>
            <w:shd w:val="clear" w:color="auto" w:fill="auto"/>
            <w:vAlign w:val="center"/>
          </w:tcPr>
          <w:p w14:paraId="4E98EE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w:t>
            </w:r>
          </w:p>
        </w:tc>
        <w:tc>
          <w:tcPr>
            <w:tcW w:w="754" w:type="dxa"/>
            <w:tcBorders>
              <w:top w:val="single" w:color="000000" w:sz="4" w:space="0"/>
              <w:left w:val="single" w:color="000000" w:sz="4" w:space="0"/>
              <w:bottom w:val="nil"/>
              <w:right w:val="single" w:color="000000" w:sz="4" w:space="0"/>
            </w:tcBorders>
            <w:shd w:val="clear" w:color="auto" w:fill="auto"/>
            <w:vAlign w:val="center"/>
          </w:tcPr>
          <w:p w14:paraId="001EEC17">
            <w:pPr>
              <w:jc w:val="center"/>
              <w:rPr>
                <w:rFonts w:hint="eastAsia" w:ascii="宋体" w:hAnsi="宋体" w:eastAsia="宋体" w:cs="宋体"/>
                <w:i w:val="0"/>
                <w:iCs w:val="0"/>
                <w:color w:val="000000"/>
                <w:sz w:val="18"/>
                <w:szCs w:val="18"/>
                <w:u w:val="none"/>
              </w:rPr>
            </w:pPr>
          </w:p>
        </w:tc>
        <w:tc>
          <w:tcPr>
            <w:tcW w:w="486" w:type="dxa"/>
            <w:tcBorders>
              <w:top w:val="single" w:color="000000" w:sz="4" w:space="0"/>
              <w:left w:val="single" w:color="000000" w:sz="4" w:space="0"/>
              <w:bottom w:val="nil"/>
              <w:right w:val="single" w:color="000000" w:sz="4" w:space="0"/>
            </w:tcBorders>
            <w:shd w:val="clear" w:color="auto" w:fill="auto"/>
            <w:vAlign w:val="center"/>
          </w:tcPr>
          <w:p w14:paraId="58C820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666" w:type="dxa"/>
            <w:tcBorders>
              <w:top w:val="single" w:color="000000" w:sz="4" w:space="0"/>
              <w:left w:val="single" w:color="000000" w:sz="4" w:space="0"/>
              <w:bottom w:val="nil"/>
              <w:right w:val="single" w:color="000000" w:sz="4" w:space="0"/>
            </w:tcBorders>
            <w:shd w:val="clear" w:color="auto" w:fill="auto"/>
            <w:vAlign w:val="center"/>
          </w:tcPr>
          <w:p w14:paraId="2B74CE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478" w:type="dxa"/>
            <w:tcBorders>
              <w:top w:val="single" w:color="000000" w:sz="4" w:space="0"/>
              <w:left w:val="single" w:color="000000" w:sz="4" w:space="0"/>
              <w:bottom w:val="nil"/>
              <w:right w:val="single" w:color="000000" w:sz="4" w:space="0"/>
            </w:tcBorders>
            <w:shd w:val="clear" w:color="auto" w:fill="auto"/>
            <w:vAlign w:val="center"/>
          </w:tcPr>
          <w:p w14:paraId="20D9F704">
            <w:pPr>
              <w:jc w:val="center"/>
              <w:rPr>
                <w:rFonts w:hint="eastAsia" w:ascii="宋体" w:hAnsi="宋体" w:eastAsia="宋体" w:cs="宋体"/>
                <w:i w:val="0"/>
                <w:iCs w:val="0"/>
                <w:color w:val="000000"/>
                <w:sz w:val="18"/>
                <w:szCs w:val="18"/>
                <w:u w:val="none"/>
              </w:rPr>
            </w:pPr>
          </w:p>
        </w:tc>
      </w:tr>
      <w:tr w14:paraId="5571F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05" w:type="dxa"/>
            <w:vMerge w:val="continue"/>
            <w:tcBorders>
              <w:top w:val="single" w:color="000000" w:sz="4" w:space="0"/>
              <w:left w:val="single" w:color="000000" w:sz="4" w:space="0"/>
              <w:bottom w:val="nil"/>
              <w:right w:val="single" w:color="000000" w:sz="4" w:space="0"/>
            </w:tcBorders>
            <w:shd w:val="clear" w:color="auto" w:fill="auto"/>
            <w:vAlign w:val="center"/>
          </w:tcPr>
          <w:p w14:paraId="6576E761">
            <w:pPr>
              <w:jc w:val="center"/>
              <w:rPr>
                <w:rFonts w:hint="eastAsia" w:ascii="宋体" w:hAnsi="宋体" w:eastAsia="宋体" w:cs="宋体"/>
                <w:i w:val="0"/>
                <w:iCs w:val="0"/>
                <w:color w:val="000000"/>
                <w:sz w:val="18"/>
                <w:szCs w:val="18"/>
                <w:u w:val="none"/>
              </w:rPr>
            </w:pPr>
          </w:p>
        </w:tc>
        <w:tc>
          <w:tcPr>
            <w:tcW w:w="615" w:type="dxa"/>
            <w:tcBorders>
              <w:top w:val="single" w:color="000000" w:sz="4" w:space="0"/>
              <w:left w:val="single" w:color="000000" w:sz="4" w:space="0"/>
              <w:bottom w:val="nil"/>
              <w:right w:val="single" w:color="000000" w:sz="4" w:space="0"/>
            </w:tcBorders>
            <w:shd w:val="clear" w:color="auto" w:fill="auto"/>
            <w:vAlign w:val="center"/>
          </w:tcPr>
          <w:p w14:paraId="0C6BC4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705" w:type="dxa"/>
            <w:tcBorders>
              <w:top w:val="single" w:color="000000" w:sz="4" w:space="0"/>
              <w:left w:val="single" w:color="000000" w:sz="4" w:space="0"/>
              <w:bottom w:val="nil"/>
              <w:right w:val="single" w:color="000000" w:sz="4" w:space="0"/>
            </w:tcBorders>
            <w:shd w:val="clear" w:color="auto" w:fill="auto"/>
            <w:vAlign w:val="center"/>
          </w:tcPr>
          <w:p w14:paraId="29CC07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1263" w:type="dxa"/>
            <w:tcBorders>
              <w:top w:val="single" w:color="000000" w:sz="4" w:space="0"/>
              <w:left w:val="single" w:color="000000" w:sz="4" w:space="0"/>
              <w:bottom w:val="nil"/>
              <w:right w:val="single" w:color="000000" w:sz="4" w:space="0"/>
            </w:tcBorders>
            <w:shd w:val="clear" w:color="auto" w:fill="auto"/>
            <w:vAlign w:val="center"/>
          </w:tcPr>
          <w:p w14:paraId="0EB40F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办案人员满意度</w:t>
            </w:r>
          </w:p>
        </w:tc>
        <w:tc>
          <w:tcPr>
            <w:tcW w:w="619" w:type="dxa"/>
            <w:tcBorders>
              <w:top w:val="single" w:color="000000" w:sz="4" w:space="0"/>
              <w:left w:val="single" w:color="000000" w:sz="4" w:space="0"/>
              <w:bottom w:val="nil"/>
              <w:right w:val="single" w:color="000000" w:sz="4" w:space="0"/>
            </w:tcBorders>
            <w:shd w:val="clear" w:color="auto" w:fill="auto"/>
            <w:vAlign w:val="center"/>
          </w:tcPr>
          <w:p w14:paraId="4EF6F3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619" w:type="dxa"/>
            <w:tcBorders>
              <w:top w:val="single" w:color="000000" w:sz="4" w:space="0"/>
              <w:left w:val="single" w:color="000000" w:sz="4" w:space="0"/>
              <w:bottom w:val="nil"/>
              <w:right w:val="single" w:color="000000" w:sz="4" w:space="0"/>
            </w:tcBorders>
            <w:shd w:val="clear" w:color="auto" w:fill="auto"/>
            <w:vAlign w:val="center"/>
          </w:tcPr>
          <w:p w14:paraId="60B353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1151" w:type="dxa"/>
            <w:tcBorders>
              <w:top w:val="single" w:color="000000" w:sz="4" w:space="0"/>
              <w:left w:val="single" w:color="000000" w:sz="4" w:space="0"/>
              <w:bottom w:val="nil"/>
              <w:right w:val="single" w:color="000000" w:sz="4" w:space="0"/>
            </w:tcBorders>
            <w:shd w:val="clear" w:color="auto" w:fill="auto"/>
            <w:vAlign w:val="center"/>
          </w:tcPr>
          <w:p w14:paraId="50B20E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1049" w:type="dxa"/>
            <w:tcBorders>
              <w:top w:val="single" w:color="000000" w:sz="4" w:space="0"/>
              <w:left w:val="single" w:color="000000" w:sz="4" w:space="0"/>
              <w:bottom w:val="nil"/>
              <w:right w:val="single" w:color="000000" w:sz="4" w:space="0"/>
            </w:tcBorders>
            <w:shd w:val="clear" w:color="auto" w:fill="auto"/>
            <w:vAlign w:val="center"/>
          </w:tcPr>
          <w:p w14:paraId="55B7BF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95.24</w:t>
            </w:r>
          </w:p>
        </w:tc>
        <w:tc>
          <w:tcPr>
            <w:tcW w:w="754" w:type="dxa"/>
            <w:tcBorders>
              <w:top w:val="single" w:color="000000" w:sz="4" w:space="0"/>
              <w:left w:val="single" w:color="000000" w:sz="4" w:space="0"/>
              <w:bottom w:val="nil"/>
              <w:right w:val="single" w:color="000000" w:sz="4" w:space="0"/>
            </w:tcBorders>
            <w:shd w:val="clear" w:color="auto" w:fill="auto"/>
            <w:vAlign w:val="center"/>
          </w:tcPr>
          <w:p w14:paraId="49B6E9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86" w:type="dxa"/>
            <w:tcBorders>
              <w:top w:val="single" w:color="000000" w:sz="4" w:space="0"/>
              <w:left w:val="single" w:color="000000" w:sz="4" w:space="0"/>
              <w:bottom w:val="nil"/>
              <w:right w:val="single" w:color="000000" w:sz="4" w:space="0"/>
            </w:tcBorders>
            <w:shd w:val="clear" w:color="auto" w:fill="auto"/>
            <w:vAlign w:val="center"/>
          </w:tcPr>
          <w:p w14:paraId="1B5F7A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66" w:type="dxa"/>
            <w:tcBorders>
              <w:top w:val="single" w:color="000000" w:sz="4" w:space="0"/>
              <w:left w:val="single" w:color="000000" w:sz="4" w:space="0"/>
              <w:bottom w:val="nil"/>
              <w:right w:val="single" w:color="000000" w:sz="4" w:space="0"/>
            </w:tcBorders>
            <w:shd w:val="clear" w:color="auto" w:fill="auto"/>
            <w:vAlign w:val="center"/>
          </w:tcPr>
          <w:p w14:paraId="538BF5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478" w:type="dxa"/>
            <w:tcBorders>
              <w:top w:val="single" w:color="000000" w:sz="4" w:space="0"/>
              <w:left w:val="single" w:color="000000" w:sz="4" w:space="0"/>
              <w:bottom w:val="nil"/>
              <w:right w:val="single" w:color="000000" w:sz="4" w:space="0"/>
            </w:tcBorders>
            <w:shd w:val="clear" w:color="auto" w:fill="auto"/>
            <w:vAlign w:val="center"/>
          </w:tcPr>
          <w:p w14:paraId="0EA6BAB8">
            <w:pPr>
              <w:jc w:val="center"/>
              <w:rPr>
                <w:rFonts w:hint="eastAsia" w:ascii="宋体" w:hAnsi="宋体" w:eastAsia="宋体" w:cs="宋体"/>
                <w:i w:val="0"/>
                <w:iCs w:val="0"/>
                <w:color w:val="000000"/>
                <w:sz w:val="18"/>
                <w:szCs w:val="18"/>
                <w:u w:val="none"/>
              </w:rPr>
            </w:pPr>
          </w:p>
        </w:tc>
      </w:tr>
      <w:tr w14:paraId="1DA713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78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6717F79E">
            <w:pPr>
              <w:keepNext w:val="0"/>
              <w:keepLines w:val="0"/>
              <w:widowControl/>
              <w:suppressLineNumbers w:val="0"/>
              <w:ind w:right="6405" w:rightChars="305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E70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064F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98.65</w:t>
            </w:r>
          </w:p>
        </w:tc>
        <w:tc>
          <w:tcPr>
            <w:tcW w:w="147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FD02B0">
            <w:pPr>
              <w:jc w:val="center"/>
              <w:rPr>
                <w:rFonts w:hint="eastAsia" w:ascii="宋体" w:hAnsi="宋体" w:eastAsia="宋体" w:cs="宋体"/>
                <w:i w:val="0"/>
                <w:iCs w:val="0"/>
                <w:color w:val="000000"/>
                <w:sz w:val="18"/>
                <w:szCs w:val="18"/>
                <w:u w:val="none"/>
              </w:rPr>
            </w:pPr>
          </w:p>
        </w:tc>
      </w:tr>
    </w:tbl>
    <w:p w14:paraId="35A45BA5">
      <w:pPr>
        <w:keepNext w:val="0"/>
        <w:keepLines w:val="0"/>
        <w:pageBreakBefore w:val="0"/>
        <w:widowControl/>
        <w:kinsoku/>
        <w:wordWrap/>
        <w:overflowPunct/>
        <w:topLinePunct w:val="0"/>
        <w:autoSpaceDE/>
        <w:autoSpaceDN/>
        <w:bidi w:val="0"/>
        <w:spacing w:beforeAutospacing="0" w:afterAutospacing="0" w:line="560" w:lineRule="exact"/>
        <w:jc w:val="left"/>
        <w:textAlignment w:val="auto"/>
        <w:rPr>
          <w:rFonts w:ascii="kai_ti_gb2312" w:hAnsi="kai_ti_gb2312" w:eastAsia="kai_ti_gb2312" w:cs="kai_ti_gb2312"/>
          <w:b/>
          <w:bCs/>
          <w:kern w:val="0"/>
          <w:sz w:val="27"/>
          <w:szCs w:val="27"/>
        </w:rPr>
      </w:pPr>
    </w:p>
    <w:p w14:paraId="5477ACDA">
      <w:pPr>
        <w:keepNext w:val="0"/>
        <w:keepLines w:val="0"/>
        <w:pageBreakBefore w:val="0"/>
        <w:widowControl/>
        <w:kinsoku/>
        <w:wordWrap/>
        <w:overflowPunct/>
        <w:topLinePunct w:val="0"/>
        <w:autoSpaceDE/>
        <w:autoSpaceDN/>
        <w:bidi w:val="0"/>
        <w:spacing w:beforeAutospacing="0" w:afterAutospacing="0" w:line="560" w:lineRule="exact"/>
        <w:jc w:val="left"/>
        <w:textAlignment w:val="auto"/>
        <w:rPr>
          <w:rFonts w:ascii="kai_ti_gb2312" w:hAnsi="kai_ti_gb2312" w:eastAsia="kai_ti_gb2312" w:cs="kai_ti_gb2312"/>
          <w:b/>
          <w:bCs/>
          <w:kern w:val="0"/>
          <w:sz w:val="27"/>
          <w:szCs w:val="27"/>
        </w:rPr>
      </w:pPr>
    </w:p>
    <w:tbl>
      <w:tblPr>
        <w:tblStyle w:val="22"/>
        <w:tblW w:w="10425" w:type="dxa"/>
        <w:tblInd w:w="-73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85"/>
        <w:gridCol w:w="690"/>
        <w:gridCol w:w="780"/>
        <w:gridCol w:w="1624"/>
        <w:gridCol w:w="537"/>
        <w:gridCol w:w="719"/>
        <w:gridCol w:w="705"/>
        <w:gridCol w:w="623"/>
        <w:gridCol w:w="665"/>
        <w:gridCol w:w="647"/>
        <w:gridCol w:w="735"/>
        <w:gridCol w:w="2115"/>
      </w:tblGrid>
      <w:tr w14:paraId="55695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10425"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14791DF4">
            <w:pPr>
              <w:keepNext w:val="0"/>
              <w:keepLines w:val="0"/>
              <w:widowControl/>
              <w:suppressLineNumbers w:val="0"/>
              <w:jc w:val="center"/>
              <w:textAlignment w:val="center"/>
              <w:rPr>
                <w:rFonts w:hint="eastAsia" w:ascii="宋体" w:hAnsi="宋体" w:eastAsia="宋体" w:cs="宋体"/>
                <w:b/>
                <w:bCs/>
                <w:i w:val="0"/>
                <w:iCs w:val="0"/>
                <w:color w:val="000000"/>
                <w:sz w:val="40"/>
                <w:szCs w:val="40"/>
                <w:u w:val="none"/>
              </w:rPr>
            </w:pPr>
            <w:r>
              <w:rPr>
                <w:rFonts w:hint="eastAsia" w:ascii="宋体" w:hAnsi="宋体" w:eastAsia="宋体" w:cs="宋体"/>
                <w:b/>
                <w:bCs/>
                <w:i w:val="0"/>
                <w:iCs w:val="0"/>
                <w:color w:val="000000"/>
                <w:kern w:val="0"/>
                <w:sz w:val="40"/>
                <w:szCs w:val="40"/>
                <w:u w:val="none"/>
                <w:lang w:val="en-US" w:eastAsia="zh-CN" w:bidi="ar"/>
              </w:rPr>
              <w:t>项目支出绩效自评表</w:t>
            </w:r>
            <w:r>
              <w:rPr>
                <w:rFonts w:hint="eastAsia" w:ascii="宋体" w:hAnsi="宋体" w:eastAsia="宋体" w:cs="宋体"/>
                <w:b/>
                <w:bCs/>
                <w:i w:val="0"/>
                <w:iCs w:val="0"/>
                <w:color w:val="000000"/>
                <w:kern w:val="0"/>
                <w:sz w:val="40"/>
                <w:szCs w:val="40"/>
                <w:u w:val="none"/>
                <w:lang w:val="en-US" w:eastAsia="zh-CN" w:bidi="ar"/>
              </w:rPr>
              <w:br w:type="textWrapping"/>
            </w:r>
            <w:r>
              <w:rPr>
                <w:rFonts w:hint="eastAsia" w:ascii="宋体" w:hAnsi="宋体" w:eastAsia="宋体" w:cs="宋体"/>
                <w:b/>
                <w:bCs/>
                <w:i w:val="0"/>
                <w:iCs w:val="0"/>
                <w:color w:val="000000"/>
                <w:kern w:val="0"/>
                <w:sz w:val="40"/>
                <w:szCs w:val="40"/>
                <w:u w:val="none"/>
                <w:lang w:val="en-US" w:eastAsia="zh-CN" w:bidi="ar"/>
              </w:rPr>
              <w:t>(2023年度）</w:t>
            </w:r>
          </w:p>
        </w:tc>
      </w:tr>
      <w:tr w14:paraId="7029EF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6A7AE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项目名称</w:t>
            </w:r>
          </w:p>
        </w:tc>
        <w:tc>
          <w:tcPr>
            <w:tcW w:w="9150"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F59F4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业务装备经费</w:t>
            </w:r>
          </w:p>
        </w:tc>
      </w:tr>
      <w:tr w14:paraId="4DC4A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409DA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主管部门</w:t>
            </w:r>
          </w:p>
        </w:tc>
        <w:tc>
          <w:tcPr>
            <w:tcW w:w="3660"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66CC545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杭锦旗人民检察院部门</w:t>
            </w:r>
          </w:p>
        </w:tc>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D2680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实施单位</w:t>
            </w:r>
          </w:p>
        </w:tc>
        <w:tc>
          <w:tcPr>
            <w:tcW w:w="4162"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A0838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杭锦旗人民检察院</w:t>
            </w:r>
          </w:p>
        </w:tc>
      </w:tr>
      <w:tr w14:paraId="227B2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E7A1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项目资金</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（万元）</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06C194">
            <w:pPr>
              <w:rPr>
                <w:rFonts w:hint="eastAsia" w:ascii="宋体" w:hAnsi="宋体" w:eastAsia="宋体" w:cs="宋体"/>
                <w:i w:val="0"/>
                <w:iCs w:val="0"/>
                <w:color w:val="000000"/>
                <w:sz w:val="18"/>
                <w:szCs w:val="18"/>
                <w:u w:val="none"/>
              </w:rPr>
            </w:pP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2BD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年初预算数</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9EB0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全年预算数</w:t>
            </w:r>
          </w:p>
        </w:tc>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E7EE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全年执行数</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395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8AED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执行率（%）</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A97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r>
      <w:tr w14:paraId="73E83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7D1B98">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AF7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年度资金总额</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634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3AA9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8A70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64C0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CC9CD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240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r>
      <w:tr w14:paraId="5F7C0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742774">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02A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其中：财政拨款</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7D9B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1798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5E72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CAD83">
            <w:pPr>
              <w:keepNext w:val="0"/>
              <w:keepLines w:val="0"/>
              <w:widowControl/>
              <w:suppressLineNumbers w:val="0"/>
              <w:jc w:val="center"/>
              <w:textAlignment w:val="center"/>
              <w:rPr>
                <w:rFonts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E4BA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F2F6D">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4AB9B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46053C">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4AE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上年结转资金</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6DB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E5FF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B5DBB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61D6B">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2E80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7E76B">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77D50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97BB9E1">
            <w:pPr>
              <w:jc w:val="center"/>
              <w:rPr>
                <w:rFonts w:hint="eastAsia" w:ascii="宋体" w:hAnsi="宋体" w:eastAsia="宋体" w:cs="宋体"/>
                <w:i w:val="0"/>
                <w:iCs w:val="0"/>
                <w:color w:val="000000"/>
                <w:sz w:val="18"/>
                <w:szCs w:val="18"/>
                <w:u w:val="none"/>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520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其他资金</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559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2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D398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9BB2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9F152">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c>
          <w:tcPr>
            <w:tcW w:w="138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8F48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21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DD4FA7">
            <w:pPr>
              <w:keepNext w:val="0"/>
              <w:keepLines w:val="0"/>
              <w:widowControl/>
              <w:suppressLineNumbers w:val="0"/>
              <w:jc w:val="center"/>
              <w:textAlignment w:val="center"/>
              <w:rPr>
                <w:rFonts w:hint="default" w:ascii="Arial" w:hAnsi="Arial" w:eastAsia="宋体" w:cs="Arial"/>
                <w:i w:val="0"/>
                <w:iCs w:val="0"/>
                <w:color w:val="222222"/>
                <w:sz w:val="19"/>
                <w:szCs w:val="19"/>
                <w:u w:val="none"/>
              </w:rPr>
            </w:pPr>
            <w:r>
              <w:rPr>
                <w:rFonts w:hint="default" w:ascii="Arial" w:hAnsi="Arial" w:eastAsia="宋体" w:cs="Arial"/>
                <w:i w:val="0"/>
                <w:iCs w:val="0"/>
                <w:color w:val="222222"/>
                <w:kern w:val="0"/>
                <w:sz w:val="19"/>
                <w:szCs w:val="19"/>
                <w:u w:val="none"/>
                <w:lang w:val="en-US" w:eastAsia="zh-CN" w:bidi="ar"/>
              </w:rPr>
              <w:t>——</w:t>
            </w:r>
          </w:p>
        </w:tc>
      </w:tr>
      <w:tr w14:paraId="47DB7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127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12C7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年度总体目标</w:t>
            </w:r>
          </w:p>
        </w:tc>
        <w:tc>
          <w:tcPr>
            <w:tcW w:w="43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C4BCB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预期目标</w:t>
            </w:r>
          </w:p>
        </w:tc>
        <w:tc>
          <w:tcPr>
            <w:tcW w:w="47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C3090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实际完成情况</w:t>
            </w:r>
          </w:p>
        </w:tc>
      </w:tr>
      <w:tr w14:paraId="41CA5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127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5161B95">
            <w:pPr>
              <w:jc w:val="center"/>
              <w:rPr>
                <w:rFonts w:hint="eastAsia" w:ascii="宋体" w:hAnsi="宋体" w:eastAsia="宋体" w:cs="宋体"/>
                <w:i w:val="0"/>
                <w:iCs w:val="0"/>
                <w:color w:val="000000"/>
                <w:sz w:val="18"/>
                <w:szCs w:val="18"/>
                <w:u w:val="none"/>
              </w:rPr>
            </w:pPr>
          </w:p>
        </w:tc>
        <w:tc>
          <w:tcPr>
            <w:tcW w:w="436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CDCB53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1.保障差旅费、侦缉调查费、协助办案费、业务装备消耗费、业务租赁费、业务维修费、交通费、培训费等支出</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2.加强法律监督等职能。</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3.增加年度案件办理数量、减短案件办理时限、提升案件当事人满意度。</w:t>
            </w:r>
          </w:p>
        </w:tc>
        <w:tc>
          <w:tcPr>
            <w:tcW w:w="478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79D989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2023年全年支出60万元，主要用于购置办公设备95台，设备合格率100%，在规定的时间内及时购置设备，有效提升检察院科技化水平。</w:t>
            </w:r>
          </w:p>
        </w:tc>
      </w:tr>
      <w:tr w14:paraId="25C7E8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5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8D65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6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735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一级指标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078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二级指标</w:t>
            </w:r>
          </w:p>
        </w:tc>
        <w:tc>
          <w:tcPr>
            <w:tcW w:w="16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B049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三级指标</w:t>
            </w:r>
          </w:p>
        </w:tc>
        <w:tc>
          <w:tcPr>
            <w:tcW w:w="53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E3C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指标性质</w:t>
            </w:r>
          </w:p>
        </w:tc>
        <w:tc>
          <w:tcPr>
            <w:tcW w:w="71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1254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指标方向</w:t>
            </w:r>
          </w:p>
        </w:tc>
        <w:tc>
          <w:tcPr>
            <w:tcW w:w="7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693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年度指标值</w:t>
            </w:r>
          </w:p>
        </w:tc>
        <w:tc>
          <w:tcPr>
            <w:tcW w:w="6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1D6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实际完成值</w:t>
            </w:r>
          </w:p>
        </w:tc>
        <w:tc>
          <w:tcPr>
            <w:tcW w:w="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24F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计量单位</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98F9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分值</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735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得分</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B005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偏差原因分析及改进措施</w:t>
            </w:r>
          </w:p>
        </w:tc>
      </w:tr>
      <w:tr w14:paraId="5AE065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3" w:hRule="atLeast"/>
        </w:trPr>
        <w:tc>
          <w:tcPr>
            <w:tcW w:w="585" w:type="dxa"/>
            <w:vMerge w:val="restart"/>
            <w:tcBorders>
              <w:top w:val="single" w:color="000000" w:sz="4" w:space="0"/>
              <w:left w:val="single" w:color="000000" w:sz="4" w:space="0"/>
              <w:bottom w:val="nil"/>
              <w:right w:val="single" w:color="000000" w:sz="4" w:space="0"/>
            </w:tcBorders>
            <w:shd w:val="clear" w:color="auto" w:fill="auto"/>
            <w:vAlign w:val="center"/>
          </w:tcPr>
          <w:p w14:paraId="483BAB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绩效指标</w:t>
            </w:r>
          </w:p>
        </w:tc>
        <w:tc>
          <w:tcPr>
            <w:tcW w:w="690" w:type="dxa"/>
            <w:vMerge w:val="restart"/>
            <w:tcBorders>
              <w:top w:val="single" w:color="000000" w:sz="4" w:space="0"/>
              <w:left w:val="single" w:color="000000" w:sz="4" w:space="0"/>
              <w:bottom w:val="nil"/>
              <w:right w:val="single" w:color="000000" w:sz="4" w:space="0"/>
            </w:tcBorders>
            <w:shd w:val="clear" w:color="auto" w:fill="auto"/>
            <w:vAlign w:val="center"/>
          </w:tcPr>
          <w:p w14:paraId="364821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780" w:type="dxa"/>
            <w:vMerge w:val="restart"/>
            <w:tcBorders>
              <w:top w:val="single" w:color="000000" w:sz="4" w:space="0"/>
              <w:left w:val="single" w:color="000000" w:sz="4" w:space="0"/>
              <w:bottom w:val="nil"/>
              <w:right w:val="single" w:color="000000" w:sz="4" w:space="0"/>
            </w:tcBorders>
            <w:shd w:val="clear" w:color="auto" w:fill="auto"/>
            <w:vAlign w:val="center"/>
          </w:tcPr>
          <w:p w14:paraId="56E541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624" w:type="dxa"/>
            <w:tcBorders>
              <w:top w:val="single" w:color="000000" w:sz="4" w:space="0"/>
              <w:left w:val="single" w:color="000000" w:sz="4" w:space="0"/>
              <w:bottom w:val="nil"/>
              <w:right w:val="single" w:color="000000" w:sz="4" w:space="0"/>
            </w:tcBorders>
            <w:shd w:val="clear" w:color="auto" w:fill="auto"/>
            <w:vAlign w:val="center"/>
          </w:tcPr>
          <w:p w14:paraId="224C59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购置设备数量</w:t>
            </w:r>
          </w:p>
        </w:tc>
        <w:tc>
          <w:tcPr>
            <w:tcW w:w="537" w:type="dxa"/>
            <w:tcBorders>
              <w:top w:val="single" w:color="000000" w:sz="4" w:space="0"/>
              <w:left w:val="single" w:color="000000" w:sz="4" w:space="0"/>
              <w:bottom w:val="nil"/>
              <w:right w:val="single" w:color="000000" w:sz="4" w:space="0"/>
            </w:tcBorders>
            <w:shd w:val="clear" w:color="auto" w:fill="auto"/>
            <w:vAlign w:val="center"/>
          </w:tcPr>
          <w:p w14:paraId="12087F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719" w:type="dxa"/>
            <w:tcBorders>
              <w:top w:val="single" w:color="000000" w:sz="4" w:space="0"/>
              <w:left w:val="single" w:color="000000" w:sz="4" w:space="0"/>
              <w:bottom w:val="nil"/>
              <w:right w:val="single" w:color="000000" w:sz="4" w:space="0"/>
            </w:tcBorders>
            <w:shd w:val="clear" w:color="auto" w:fill="auto"/>
            <w:vAlign w:val="center"/>
          </w:tcPr>
          <w:p w14:paraId="1F42BF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705" w:type="dxa"/>
            <w:tcBorders>
              <w:top w:val="single" w:color="000000" w:sz="4" w:space="0"/>
              <w:left w:val="single" w:color="000000" w:sz="4" w:space="0"/>
              <w:bottom w:val="nil"/>
              <w:right w:val="single" w:color="000000" w:sz="4" w:space="0"/>
            </w:tcBorders>
            <w:shd w:val="clear" w:color="auto" w:fill="auto"/>
            <w:vAlign w:val="center"/>
          </w:tcPr>
          <w:p w14:paraId="595103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623" w:type="dxa"/>
            <w:tcBorders>
              <w:top w:val="single" w:color="000000" w:sz="4" w:space="0"/>
              <w:left w:val="single" w:color="000000" w:sz="4" w:space="0"/>
              <w:bottom w:val="nil"/>
              <w:right w:val="single" w:color="000000" w:sz="4" w:space="0"/>
            </w:tcBorders>
            <w:shd w:val="clear" w:color="auto" w:fill="auto"/>
            <w:vAlign w:val="center"/>
          </w:tcPr>
          <w:p w14:paraId="2B9E4C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665" w:type="dxa"/>
            <w:tcBorders>
              <w:top w:val="single" w:color="000000" w:sz="4" w:space="0"/>
              <w:left w:val="single" w:color="000000" w:sz="4" w:space="0"/>
              <w:bottom w:val="nil"/>
              <w:right w:val="single" w:color="000000" w:sz="4" w:space="0"/>
            </w:tcBorders>
            <w:shd w:val="clear" w:color="auto" w:fill="auto"/>
            <w:vAlign w:val="center"/>
          </w:tcPr>
          <w:p w14:paraId="00C5AA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台</w:t>
            </w:r>
          </w:p>
        </w:tc>
        <w:tc>
          <w:tcPr>
            <w:tcW w:w="647" w:type="dxa"/>
            <w:tcBorders>
              <w:top w:val="single" w:color="000000" w:sz="4" w:space="0"/>
              <w:left w:val="single" w:color="000000" w:sz="4" w:space="0"/>
              <w:bottom w:val="nil"/>
              <w:right w:val="single" w:color="000000" w:sz="4" w:space="0"/>
            </w:tcBorders>
            <w:shd w:val="clear" w:color="auto" w:fill="auto"/>
            <w:vAlign w:val="center"/>
          </w:tcPr>
          <w:p w14:paraId="2EDD7C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35" w:type="dxa"/>
            <w:tcBorders>
              <w:top w:val="single" w:color="000000" w:sz="4" w:space="0"/>
              <w:left w:val="single" w:color="000000" w:sz="4" w:space="0"/>
              <w:bottom w:val="nil"/>
              <w:right w:val="single" w:color="000000" w:sz="4" w:space="0"/>
            </w:tcBorders>
            <w:shd w:val="clear" w:color="auto" w:fill="auto"/>
            <w:vAlign w:val="center"/>
          </w:tcPr>
          <w:p w14:paraId="2DCB05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115" w:type="dxa"/>
            <w:tcBorders>
              <w:top w:val="single" w:color="000000" w:sz="4" w:space="0"/>
              <w:left w:val="single" w:color="000000" w:sz="4" w:space="0"/>
              <w:bottom w:val="nil"/>
              <w:right w:val="single" w:color="000000" w:sz="4" w:space="0"/>
            </w:tcBorders>
            <w:shd w:val="clear" w:color="auto" w:fill="auto"/>
            <w:vAlign w:val="center"/>
          </w:tcPr>
          <w:p w14:paraId="3455C694">
            <w:pPr>
              <w:jc w:val="center"/>
              <w:rPr>
                <w:rFonts w:hint="eastAsia" w:ascii="宋体" w:hAnsi="宋体" w:eastAsia="宋体" w:cs="宋体"/>
                <w:i w:val="0"/>
                <w:iCs w:val="0"/>
                <w:color w:val="000000"/>
                <w:sz w:val="18"/>
                <w:szCs w:val="18"/>
                <w:u w:val="none"/>
              </w:rPr>
            </w:pPr>
          </w:p>
        </w:tc>
      </w:tr>
      <w:tr w14:paraId="03159F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85" w:type="dxa"/>
            <w:vMerge w:val="continue"/>
            <w:tcBorders>
              <w:top w:val="single" w:color="000000" w:sz="4" w:space="0"/>
              <w:left w:val="single" w:color="000000" w:sz="4" w:space="0"/>
              <w:bottom w:val="nil"/>
              <w:right w:val="single" w:color="000000" w:sz="4" w:space="0"/>
            </w:tcBorders>
            <w:shd w:val="clear" w:color="auto" w:fill="auto"/>
            <w:vAlign w:val="center"/>
          </w:tcPr>
          <w:p w14:paraId="4A2536CC">
            <w:pPr>
              <w:jc w:val="center"/>
              <w:rPr>
                <w:rFonts w:hint="eastAsia" w:ascii="宋体" w:hAnsi="宋体" w:eastAsia="宋体" w:cs="宋体"/>
                <w:i w:val="0"/>
                <w:iCs w:val="0"/>
                <w:color w:val="000000"/>
                <w:sz w:val="18"/>
                <w:szCs w:val="18"/>
                <w:u w:val="none"/>
              </w:rPr>
            </w:pPr>
          </w:p>
        </w:tc>
        <w:tc>
          <w:tcPr>
            <w:tcW w:w="690" w:type="dxa"/>
            <w:vMerge w:val="continue"/>
            <w:tcBorders>
              <w:top w:val="single" w:color="000000" w:sz="4" w:space="0"/>
              <w:left w:val="single" w:color="000000" w:sz="4" w:space="0"/>
              <w:bottom w:val="nil"/>
              <w:right w:val="single" w:color="000000" w:sz="4" w:space="0"/>
            </w:tcBorders>
            <w:shd w:val="clear" w:color="auto" w:fill="auto"/>
            <w:vAlign w:val="center"/>
          </w:tcPr>
          <w:p w14:paraId="30863A12">
            <w:pPr>
              <w:jc w:val="center"/>
              <w:rPr>
                <w:rFonts w:hint="eastAsia" w:ascii="宋体" w:hAnsi="宋体" w:eastAsia="宋体" w:cs="宋体"/>
                <w:i w:val="0"/>
                <w:iCs w:val="0"/>
                <w:color w:val="000000"/>
                <w:sz w:val="18"/>
                <w:szCs w:val="18"/>
                <w:u w:val="none"/>
              </w:rPr>
            </w:pPr>
          </w:p>
        </w:tc>
        <w:tc>
          <w:tcPr>
            <w:tcW w:w="780" w:type="dxa"/>
            <w:vMerge w:val="continue"/>
            <w:tcBorders>
              <w:top w:val="single" w:color="000000" w:sz="4" w:space="0"/>
              <w:left w:val="single" w:color="000000" w:sz="4" w:space="0"/>
              <w:bottom w:val="nil"/>
              <w:right w:val="single" w:color="000000" w:sz="4" w:space="0"/>
            </w:tcBorders>
            <w:shd w:val="clear" w:color="auto" w:fill="auto"/>
            <w:vAlign w:val="center"/>
          </w:tcPr>
          <w:p w14:paraId="69731318">
            <w:pPr>
              <w:jc w:val="center"/>
              <w:rPr>
                <w:rFonts w:hint="eastAsia" w:ascii="宋体" w:hAnsi="宋体" w:eastAsia="宋体" w:cs="宋体"/>
                <w:i w:val="0"/>
                <w:iCs w:val="0"/>
                <w:color w:val="000000"/>
                <w:sz w:val="18"/>
                <w:szCs w:val="18"/>
                <w:u w:val="none"/>
              </w:rPr>
            </w:pPr>
          </w:p>
        </w:tc>
        <w:tc>
          <w:tcPr>
            <w:tcW w:w="1624" w:type="dxa"/>
            <w:tcBorders>
              <w:top w:val="single" w:color="000000" w:sz="4" w:space="0"/>
              <w:left w:val="single" w:color="000000" w:sz="4" w:space="0"/>
              <w:bottom w:val="nil"/>
              <w:right w:val="single" w:color="000000" w:sz="4" w:space="0"/>
            </w:tcBorders>
            <w:shd w:val="clear" w:color="auto" w:fill="auto"/>
            <w:vAlign w:val="center"/>
          </w:tcPr>
          <w:p w14:paraId="01CA4C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办理一审公诉案件数量</w:t>
            </w:r>
          </w:p>
        </w:tc>
        <w:tc>
          <w:tcPr>
            <w:tcW w:w="537" w:type="dxa"/>
            <w:tcBorders>
              <w:top w:val="single" w:color="000000" w:sz="4" w:space="0"/>
              <w:left w:val="single" w:color="000000" w:sz="4" w:space="0"/>
              <w:bottom w:val="nil"/>
              <w:right w:val="single" w:color="000000" w:sz="4" w:space="0"/>
            </w:tcBorders>
            <w:shd w:val="clear" w:color="auto" w:fill="auto"/>
            <w:vAlign w:val="center"/>
          </w:tcPr>
          <w:p w14:paraId="44FF6F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719" w:type="dxa"/>
            <w:tcBorders>
              <w:top w:val="single" w:color="000000" w:sz="4" w:space="0"/>
              <w:left w:val="single" w:color="000000" w:sz="4" w:space="0"/>
              <w:bottom w:val="nil"/>
              <w:right w:val="single" w:color="000000" w:sz="4" w:space="0"/>
            </w:tcBorders>
            <w:shd w:val="clear" w:color="auto" w:fill="auto"/>
            <w:vAlign w:val="center"/>
          </w:tcPr>
          <w:p w14:paraId="48E526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705" w:type="dxa"/>
            <w:tcBorders>
              <w:top w:val="single" w:color="000000" w:sz="4" w:space="0"/>
              <w:left w:val="single" w:color="000000" w:sz="4" w:space="0"/>
              <w:bottom w:val="nil"/>
              <w:right w:val="single" w:color="000000" w:sz="4" w:space="0"/>
            </w:tcBorders>
            <w:shd w:val="clear" w:color="auto" w:fill="auto"/>
            <w:vAlign w:val="center"/>
          </w:tcPr>
          <w:p w14:paraId="6848F5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255</w:t>
            </w:r>
          </w:p>
        </w:tc>
        <w:tc>
          <w:tcPr>
            <w:tcW w:w="623" w:type="dxa"/>
            <w:tcBorders>
              <w:top w:val="single" w:color="000000" w:sz="4" w:space="0"/>
              <w:left w:val="single" w:color="000000" w:sz="4" w:space="0"/>
              <w:bottom w:val="nil"/>
              <w:right w:val="single" w:color="000000" w:sz="4" w:space="0"/>
            </w:tcBorders>
            <w:shd w:val="clear" w:color="auto" w:fill="auto"/>
            <w:vAlign w:val="center"/>
          </w:tcPr>
          <w:p w14:paraId="62FC41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269</w:t>
            </w:r>
          </w:p>
        </w:tc>
        <w:tc>
          <w:tcPr>
            <w:tcW w:w="665" w:type="dxa"/>
            <w:tcBorders>
              <w:top w:val="single" w:color="000000" w:sz="4" w:space="0"/>
              <w:left w:val="single" w:color="000000" w:sz="4" w:space="0"/>
              <w:bottom w:val="nil"/>
              <w:right w:val="single" w:color="000000" w:sz="4" w:space="0"/>
            </w:tcBorders>
            <w:shd w:val="clear" w:color="auto" w:fill="auto"/>
            <w:vAlign w:val="center"/>
          </w:tcPr>
          <w:p w14:paraId="20F191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647" w:type="dxa"/>
            <w:tcBorders>
              <w:top w:val="single" w:color="000000" w:sz="4" w:space="0"/>
              <w:left w:val="single" w:color="000000" w:sz="4" w:space="0"/>
              <w:bottom w:val="nil"/>
              <w:right w:val="single" w:color="000000" w:sz="4" w:space="0"/>
            </w:tcBorders>
            <w:shd w:val="clear" w:color="auto" w:fill="auto"/>
            <w:vAlign w:val="center"/>
          </w:tcPr>
          <w:p w14:paraId="479F17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35" w:type="dxa"/>
            <w:tcBorders>
              <w:top w:val="single" w:color="000000" w:sz="4" w:space="0"/>
              <w:left w:val="single" w:color="000000" w:sz="4" w:space="0"/>
              <w:bottom w:val="nil"/>
              <w:right w:val="single" w:color="000000" w:sz="4" w:space="0"/>
            </w:tcBorders>
            <w:shd w:val="clear" w:color="auto" w:fill="auto"/>
            <w:vAlign w:val="center"/>
          </w:tcPr>
          <w:p w14:paraId="197758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115" w:type="dxa"/>
            <w:tcBorders>
              <w:top w:val="single" w:color="000000" w:sz="4" w:space="0"/>
              <w:left w:val="single" w:color="000000" w:sz="4" w:space="0"/>
              <w:bottom w:val="nil"/>
              <w:right w:val="single" w:color="000000" w:sz="4" w:space="0"/>
            </w:tcBorders>
            <w:shd w:val="clear" w:color="auto" w:fill="auto"/>
            <w:vAlign w:val="center"/>
          </w:tcPr>
          <w:p w14:paraId="64113F94">
            <w:pPr>
              <w:jc w:val="center"/>
              <w:rPr>
                <w:rFonts w:hint="eastAsia" w:ascii="宋体" w:hAnsi="宋体" w:eastAsia="宋体" w:cs="宋体"/>
                <w:i w:val="0"/>
                <w:iCs w:val="0"/>
                <w:color w:val="000000"/>
                <w:sz w:val="18"/>
                <w:szCs w:val="18"/>
                <w:u w:val="none"/>
              </w:rPr>
            </w:pPr>
          </w:p>
        </w:tc>
      </w:tr>
      <w:tr w14:paraId="6A83C0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85" w:type="dxa"/>
            <w:vMerge w:val="continue"/>
            <w:tcBorders>
              <w:top w:val="single" w:color="000000" w:sz="4" w:space="0"/>
              <w:left w:val="single" w:color="000000" w:sz="4" w:space="0"/>
              <w:bottom w:val="nil"/>
              <w:right w:val="single" w:color="000000" w:sz="4" w:space="0"/>
            </w:tcBorders>
            <w:shd w:val="clear" w:color="auto" w:fill="auto"/>
            <w:vAlign w:val="center"/>
          </w:tcPr>
          <w:p w14:paraId="5140D643">
            <w:pPr>
              <w:jc w:val="center"/>
              <w:rPr>
                <w:rFonts w:hint="eastAsia" w:ascii="宋体" w:hAnsi="宋体" w:eastAsia="宋体" w:cs="宋体"/>
                <w:i w:val="0"/>
                <w:iCs w:val="0"/>
                <w:color w:val="000000"/>
                <w:sz w:val="18"/>
                <w:szCs w:val="18"/>
                <w:u w:val="none"/>
              </w:rPr>
            </w:pPr>
          </w:p>
        </w:tc>
        <w:tc>
          <w:tcPr>
            <w:tcW w:w="690" w:type="dxa"/>
            <w:vMerge w:val="continue"/>
            <w:tcBorders>
              <w:top w:val="single" w:color="000000" w:sz="4" w:space="0"/>
              <w:left w:val="single" w:color="000000" w:sz="4" w:space="0"/>
              <w:bottom w:val="nil"/>
              <w:right w:val="single" w:color="000000" w:sz="4" w:space="0"/>
            </w:tcBorders>
            <w:shd w:val="clear" w:color="auto" w:fill="auto"/>
            <w:vAlign w:val="center"/>
          </w:tcPr>
          <w:p w14:paraId="2C159A3F">
            <w:pPr>
              <w:jc w:val="center"/>
              <w:rPr>
                <w:rFonts w:hint="eastAsia" w:ascii="宋体" w:hAnsi="宋体" w:eastAsia="宋体" w:cs="宋体"/>
                <w:i w:val="0"/>
                <w:iCs w:val="0"/>
                <w:color w:val="000000"/>
                <w:sz w:val="18"/>
                <w:szCs w:val="18"/>
                <w:u w:val="none"/>
              </w:rPr>
            </w:pPr>
          </w:p>
        </w:tc>
        <w:tc>
          <w:tcPr>
            <w:tcW w:w="780" w:type="dxa"/>
            <w:vMerge w:val="continue"/>
            <w:tcBorders>
              <w:top w:val="single" w:color="000000" w:sz="4" w:space="0"/>
              <w:left w:val="single" w:color="000000" w:sz="4" w:space="0"/>
              <w:bottom w:val="nil"/>
              <w:right w:val="single" w:color="000000" w:sz="4" w:space="0"/>
            </w:tcBorders>
            <w:shd w:val="clear" w:color="auto" w:fill="auto"/>
            <w:vAlign w:val="center"/>
          </w:tcPr>
          <w:p w14:paraId="7607BB2D">
            <w:pPr>
              <w:jc w:val="center"/>
              <w:rPr>
                <w:rFonts w:hint="eastAsia" w:ascii="宋体" w:hAnsi="宋体" w:eastAsia="宋体" w:cs="宋体"/>
                <w:i w:val="0"/>
                <w:iCs w:val="0"/>
                <w:color w:val="000000"/>
                <w:sz w:val="18"/>
                <w:szCs w:val="18"/>
                <w:u w:val="none"/>
              </w:rPr>
            </w:pPr>
          </w:p>
        </w:tc>
        <w:tc>
          <w:tcPr>
            <w:tcW w:w="1624" w:type="dxa"/>
            <w:tcBorders>
              <w:top w:val="single" w:color="000000" w:sz="4" w:space="0"/>
              <w:left w:val="single" w:color="000000" w:sz="4" w:space="0"/>
              <w:bottom w:val="nil"/>
              <w:right w:val="single" w:color="000000" w:sz="4" w:space="0"/>
            </w:tcBorders>
            <w:shd w:val="clear" w:color="auto" w:fill="auto"/>
            <w:vAlign w:val="center"/>
          </w:tcPr>
          <w:p w14:paraId="614255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办理立案监督数量</w:t>
            </w:r>
          </w:p>
        </w:tc>
        <w:tc>
          <w:tcPr>
            <w:tcW w:w="537" w:type="dxa"/>
            <w:tcBorders>
              <w:top w:val="single" w:color="000000" w:sz="4" w:space="0"/>
              <w:left w:val="single" w:color="000000" w:sz="4" w:space="0"/>
              <w:bottom w:val="nil"/>
              <w:right w:val="single" w:color="000000" w:sz="4" w:space="0"/>
            </w:tcBorders>
            <w:shd w:val="clear" w:color="auto" w:fill="auto"/>
            <w:vAlign w:val="center"/>
          </w:tcPr>
          <w:p w14:paraId="6BE6AD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719" w:type="dxa"/>
            <w:tcBorders>
              <w:top w:val="single" w:color="000000" w:sz="4" w:space="0"/>
              <w:left w:val="single" w:color="000000" w:sz="4" w:space="0"/>
              <w:bottom w:val="nil"/>
              <w:right w:val="single" w:color="000000" w:sz="4" w:space="0"/>
            </w:tcBorders>
            <w:shd w:val="clear" w:color="auto" w:fill="auto"/>
            <w:vAlign w:val="center"/>
          </w:tcPr>
          <w:p w14:paraId="417134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705" w:type="dxa"/>
            <w:tcBorders>
              <w:top w:val="single" w:color="000000" w:sz="4" w:space="0"/>
              <w:left w:val="single" w:color="000000" w:sz="4" w:space="0"/>
              <w:bottom w:val="nil"/>
              <w:right w:val="single" w:color="000000" w:sz="4" w:space="0"/>
            </w:tcBorders>
            <w:shd w:val="clear" w:color="auto" w:fill="auto"/>
            <w:vAlign w:val="center"/>
          </w:tcPr>
          <w:p w14:paraId="001FD6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623" w:type="dxa"/>
            <w:tcBorders>
              <w:top w:val="single" w:color="000000" w:sz="4" w:space="0"/>
              <w:left w:val="single" w:color="000000" w:sz="4" w:space="0"/>
              <w:bottom w:val="nil"/>
              <w:right w:val="single" w:color="000000" w:sz="4" w:space="0"/>
            </w:tcBorders>
            <w:shd w:val="clear" w:color="auto" w:fill="auto"/>
            <w:vAlign w:val="center"/>
          </w:tcPr>
          <w:p w14:paraId="03A877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665" w:type="dxa"/>
            <w:tcBorders>
              <w:top w:val="single" w:color="000000" w:sz="4" w:space="0"/>
              <w:left w:val="single" w:color="000000" w:sz="4" w:space="0"/>
              <w:bottom w:val="nil"/>
              <w:right w:val="single" w:color="000000" w:sz="4" w:space="0"/>
            </w:tcBorders>
            <w:shd w:val="clear" w:color="auto" w:fill="auto"/>
            <w:vAlign w:val="center"/>
          </w:tcPr>
          <w:p w14:paraId="16628C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件</w:t>
            </w:r>
          </w:p>
        </w:tc>
        <w:tc>
          <w:tcPr>
            <w:tcW w:w="647" w:type="dxa"/>
            <w:tcBorders>
              <w:top w:val="single" w:color="000000" w:sz="4" w:space="0"/>
              <w:left w:val="single" w:color="000000" w:sz="4" w:space="0"/>
              <w:bottom w:val="nil"/>
              <w:right w:val="single" w:color="000000" w:sz="4" w:space="0"/>
            </w:tcBorders>
            <w:shd w:val="clear" w:color="auto" w:fill="auto"/>
            <w:vAlign w:val="center"/>
          </w:tcPr>
          <w:p w14:paraId="72A8D8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35" w:type="dxa"/>
            <w:tcBorders>
              <w:top w:val="single" w:color="000000" w:sz="4" w:space="0"/>
              <w:left w:val="single" w:color="000000" w:sz="4" w:space="0"/>
              <w:bottom w:val="nil"/>
              <w:right w:val="single" w:color="000000" w:sz="4" w:space="0"/>
            </w:tcBorders>
            <w:shd w:val="clear" w:color="auto" w:fill="auto"/>
            <w:vAlign w:val="center"/>
          </w:tcPr>
          <w:p w14:paraId="5EEE87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4.58</w:t>
            </w:r>
          </w:p>
        </w:tc>
        <w:tc>
          <w:tcPr>
            <w:tcW w:w="2115" w:type="dxa"/>
            <w:tcBorders>
              <w:top w:val="single" w:color="000000" w:sz="4" w:space="0"/>
              <w:left w:val="single" w:color="000000" w:sz="4" w:space="0"/>
              <w:bottom w:val="nil"/>
              <w:right w:val="single" w:color="000000" w:sz="4" w:space="0"/>
            </w:tcBorders>
            <w:shd w:val="clear" w:color="auto" w:fill="auto"/>
            <w:vAlign w:val="center"/>
          </w:tcPr>
          <w:p w14:paraId="1CA2D9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根据去年历史数据设置目标值，进一步提升目标值编制准确性</w:t>
            </w:r>
          </w:p>
        </w:tc>
      </w:tr>
      <w:tr w14:paraId="065D4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85" w:type="dxa"/>
            <w:vMerge w:val="continue"/>
            <w:tcBorders>
              <w:top w:val="single" w:color="000000" w:sz="4" w:space="0"/>
              <w:left w:val="single" w:color="000000" w:sz="4" w:space="0"/>
              <w:bottom w:val="nil"/>
              <w:right w:val="single" w:color="000000" w:sz="4" w:space="0"/>
            </w:tcBorders>
            <w:shd w:val="clear" w:color="auto" w:fill="auto"/>
            <w:vAlign w:val="center"/>
          </w:tcPr>
          <w:p w14:paraId="6A863E00">
            <w:pPr>
              <w:jc w:val="center"/>
              <w:rPr>
                <w:rFonts w:hint="eastAsia" w:ascii="宋体" w:hAnsi="宋体" w:eastAsia="宋体" w:cs="宋体"/>
                <w:i w:val="0"/>
                <w:iCs w:val="0"/>
                <w:color w:val="000000"/>
                <w:sz w:val="18"/>
                <w:szCs w:val="18"/>
                <w:u w:val="none"/>
              </w:rPr>
            </w:pPr>
          </w:p>
        </w:tc>
        <w:tc>
          <w:tcPr>
            <w:tcW w:w="690" w:type="dxa"/>
            <w:vMerge w:val="continue"/>
            <w:tcBorders>
              <w:top w:val="single" w:color="000000" w:sz="4" w:space="0"/>
              <w:left w:val="single" w:color="000000" w:sz="4" w:space="0"/>
              <w:bottom w:val="nil"/>
              <w:right w:val="single" w:color="000000" w:sz="4" w:space="0"/>
            </w:tcBorders>
            <w:shd w:val="clear" w:color="auto" w:fill="auto"/>
            <w:vAlign w:val="center"/>
          </w:tcPr>
          <w:p w14:paraId="77B3CB82">
            <w:pPr>
              <w:jc w:val="center"/>
              <w:rPr>
                <w:rFonts w:hint="eastAsia" w:ascii="宋体" w:hAnsi="宋体" w:eastAsia="宋体" w:cs="宋体"/>
                <w:i w:val="0"/>
                <w:iCs w:val="0"/>
                <w:color w:val="000000"/>
                <w:sz w:val="18"/>
                <w:szCs w:val="18"/>
                <w:u w:val="none"/>
              </w:rPr>
            </w:pPr>
          </w:p>
        </w:tc>
        <w:tc>
          <w:tcPr>
            <w:tcW w:w="780" w:type="dxa"/>
            <w:vMerge w:val="restart"/>
            <w:tcBorders>
              <w:top w:val="single" w:color="000000" w:sz="4" w:space="0"/>
              <w:left w:val="single" w:color="000000" w:sz="4" w:space="0"/>
              <w:bottom w:val="nil"/>
              <w:right w:val="single" w:color="000000" w:sz="4" w:space="0"/>
            </w:tcBorders>
            <w:shd w:val="clear" w:color="auto" w:fill="auto"/>
            <w:vAlign w:val="center"/>
          </w:tcPr>
          <w:p w14:paraId="29F860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624" w:type="dxa"/>
            <w:tcBorders>
              <w:top w:val="single" w:color="000000" w:sz="4" w:space="0"/>
              <w:left w:val="single" w:color="000000" w:sz="4" w:space="0"/>
              <w:bottom w:val="nil"/>
              <w:right w:val="single" w:color="000000" w:sz="4" w:space="0"/>
            </w:tcBorders>
            <w:shd w:val="clear" w:color="auto" w:fill="auto"/>
            <w:vAlign w:val="center"/>
          </w:tcPr>
          <w:p w14:paraId="635890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安装工程验收合格率</w:t>
            </w:r>
          </w:p>
        </w:tc>
        <w:tc>
          <w:tcPr>
            <w:tcW w:w="537" w:type="dxa"/>
            <w:tcBorders>
              <w:top w:val="single" w:color="000000" w:sz="4" w:space="0"/>
              <w:left w:val="single" w:color="000000" w:sz="4" w:space="0"/>
              <w:bottom w:val="nil"/>
              <w:right w:val="single" w:color="000000" w:sz="4" w:space="0"/>
            </w:tcBorders>
            <w:shd w:val="clear" w:color="auto" w:fill="auto"/>
            <w:vAlign w:val="center"/>
          </w:tcPr>
          <w:p w14:paraId="0F3D8E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719" w:type="dxa"/>
            <w:tcBorders>
              <w:top w:val="single" w:color="000000" w:sz="4" w:space="0"/>
              <w:left w:val="single" w:color="000000" w:sz="4" w:space="0"/>
              <w:bottom w:val="nil"/>
              <w:right w:val="single" w:color="000000" w:sz="4" w:space="0"/>
            </w:tcBorders>
            <w:shd w:val="clear" w:color="auto" w:fill="auto"/>
            <w:vAlign w:val="center"/>
          </w:tcPr>
          <w:p w14:paraId="4ACDE9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705" w:type="dxa"/>
            <w:tcBorders>
              <w:top w:val="single" w:color="000000" w:sz="4" w:space="0"/>
              <w:left w:val="single" w:color="000000" w:sz="4" w:space="0"/>
              <w:bottom w:val="nil"/>
              <w:right w:val="single" w:color="000000" w:sz="4" w:space="0"/>
            </w:tcBorders>
            <w:shd w:val="clear" w:color="auto" w:fill="auto"/>
            <w:vAlign w:val="center"/>
          </w:tcPr>
          <w:p w14:paraId="3FC619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623" w:type="dxa"/>
            <w:tcBorders>
              <w:top w:val="single" w:color="000000" w:sz="4" w:space="0"/>
              <w:left w:val="single" w:color="000000" w:sz="4" w:space="0"/>
              <w:bottom w:val="nil"/>
              <w:right w:val="single" w:color="000000" w:sz="4" w:space="0"/>
            </w:tcBorders>
            <w:shd w:val="clear" w:color="auto" w:fill="auto"/>
            <w:vAlign w:val="center"/>
          </w:tcPr>
          <w:p w14:paraId="72624F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65" w:type="dxa"/>
            <w:tcBorders>
              <w:top w:val="single" w:color="000000" w:sz="4" w:space="0"/>
              <w:left w:val="single" w:color="000000" w:sz="4" w:space="0"/>
              <w:bottom w:val="nil"/>
              <w:right w:val="single" w:color="000000" w:sz="4" w:space="0"/>
            </w:tcBorders>
            <w:shd w:val="clear" w:color="auto" w:fill="auto"/>
            <w:vAlign w:val="center"/>
          </w:tcPr>
          <w:p w14:paraId="222FD2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47" w:type="dxa"/>
            <w:tcBorders>
              <w:top w:val="single" w:color="000000" w:sz="4" w:space="0"/>
              <w:left w:val="single" w:color="000000" w:sz="4" w:space="0"/>
              <w:bottom w:val="nil"/>
              <w:right w:val="single" w:color="000000" w:sz="4" w:space="0"/>
            </w:tcBorders>
            <w:shd w:val="clear" w:color="auto" w:fill="auto"/>
            <w:vAlign w:val="center"/>
          </w:tcPr>
          <w:p w14:paraId="2B3ABA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35" w:type="dxa"/>
            <w:tcBorders>
              <w:top w:val="single" w:color="000000" w:sz="4" w:space="0"/>
              <w:left w:val="single" w:color="000000" w:sz="4" w:space="0"/>
              <w:bottom w:val="nil"/>
              <w:right w:val="single" w:color="000000" w:sz="4" w:space="0"/>
            </w:tcBorders>
            <w:shd w:val="clear" w:color="auto" w:fill="auto"/>
            <w:vAlign w:val="center"/>
          </w:tcPr>
          <w:p w14:paraId="5A65F6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115" w:type="dxa"/>
            <w:tcBorders>
              <w:top w:val="single" w:color="000000" w:sz="4" w:space="0"/>
              <w:left w:val="single" w:color="000000" w:sz="4" w:space="0"/>
              <w:bottom w:val="nil"/>
              <w:right w:val="single" w:color="000000" w:sz="4" w:space="0"/>
            </w:tcBorders>
            <w:shd w:val="clear" w:color="auto" w:fill="auto"/>
            <w:vAlign w:val="center"/>
          </w:tcPr>
          <w:p w14:paraId="1DEC324C">
            <w:pPr>
              <w:jc w:val="center"/>
              <w:rPr>
                <w:rFonts w:hint="eastAsia" w:ascii="宋体" w:hAnsi="宋体" w:eastAsia="宋体" w:cs="宋体"/>
                <w:i w:val="0"/>
                <w:iCs w:val="0"/>
                <w:color w:val="000000"/>
                <w:sz w:val="18"/>
                <w:szCs w:val="18"/>
                <w:u w:val="none"/>
              </w:rPr>
            </w:pPr>
          </w:p>
        </w:tc>
      </w:tr>
      <w:tr w14:paraId="2E5C7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85" w:type="dxa"/>
            <w:vMerge w:val="continue"/>
            <w:tcBorders>
              <w:top w:val="single" w:color="000000" w:sz="4" w:space="0"/>
              <w:left w:val="single" w:color="000000" w:sz="4" w:space="0"/>
              <w:bottom w:val="nil"/>
              <w:right w:val="single" w:color="000000" w:sz="4" w:space="0"/>
            </w:tcBorders>
            <w:shd w:val="clear" w:color="auto" w:fill="auto"/>
            <w:vAlign w:val="center"/>
          </w:tcPr>
          <w:p w14:paraId="624C3484">
            <w:pPr>
              <w:jc w:val="center"/>
              <w:rPr>
                <w:rFonts w:hint="eastAsia" w:ascii="宋体" w:hAnsi="宋体" w:eastAsia="宋体" w:cs="宋体"/>
                <w:i w:val="0"/>
                <w:iCs w:val="0"/>
                <w:color w:val="000000"/>
                <w:sz w:val="18"/>
                <w:szCs w:val="18"/>
                <w:u w:val="none"/>
              </w:rPr>
            </w:pPr>
          </w:p>
        </w:tc>
        <w:tc>
          <w:tcPr>
            <w:tcW w:w="690" w:type="dxa"/>
            <w:vMerge w:val="continue"/>
            <w:tcBorders>
              <w:top w:val="single" w:color="000000" w:sz="4" w:space="0"/>
              <w:left w:val="single" w:color="000000" w:sz="4" w:space="0"/>
              <w:bottom w:val="nil"/>
              <w:right w:val="single" w:color="000000" w:sz="4" w:space="0"/>
            </w:tcBorders>
            <w:shd w:val="clear" w:color="auto" w:fill="auto"/>
            <w:vAlign w:val="center"/>
          </w:tcPr>
          <w:p w14:paraId="29AF7ADA">
            <w:pPr>
              <w:jc w:val="center"/>
              <w:rPr>
                <w:rFonts w:hint="eastAsia" w:ascii="宋体" w:hAnsi="宋体" w:eastAsia="宋体" w:cs="宋体"/>
                <w:i w:val="0"/>
                <w:iCs w:val="0"/>
                <w:color w:val="000000"/>
                <w:sz w:val="18"/>
                <w:szCs w:val="18"/>
                <w:u w:val="none"/>
              </w:rPr>
            </w:pPr>
          </w:p>
        </w:tc>
        <w:tc>
          <w:tcPr>
            <w:tcW w:w="780" w:type="dxa"/>
            <w:vMerge w:val="continue"/>
            <w:tcBorders>
              <w:top w:val="single" w:color="000000" w:sz="4" w:space="0"/>
              <w:left w:val="single" w:color="000000" w:sz="4" w:space="0"/>
              <w:bottom w:val="nil"/>
              <w:right w:val="single" w:color="000000" w:sz="4" w:space="0"/>
            </w:tcBorders>
            <w:shd w:val="clear" w:color="auto" w:fill="auto"/>
            <w:vAlign w:val="center"/>
          </w:tcPr>
          <w:p w14:paraId="27FE30D4">
            <w:pPr>
              <w:jc w:val="center"/>
              <w:rPr>
                <w:rFonts w:hint="eastAsia" w:ascii="宋体" w:hAnsi="宋体" w:eastAsia="宋体" w:cs="宋体"/>
                <w:i w:val="0"/>
                <w:iCs w:val="0"/>
                <w:color w:val="000000"/>
                <w:sz w:val="18"/>
                <w:szCs w:val="18"/>
                <w:u w:val="none"/>
              </w:rPr>
            </w:pPr>
          </w:p>
        </w:tc>
        <w:tc>
          <w:tcPr>
            <w:tcW w:w="1624" w:type="dxa"/>
            <w:tcBorders>
              <w:top w:val="single" w:color="000000" w:sz="4" w:space="0"/>
              <w:left w:val="single" w:color="000000" w:sz="4" w:space="0"/>
              <w:bottom w:val="nil"/>
              <w:right w:val="single" w:color="000000" w:sz="4" w:space="0"/>
            </w:tcBorders>
            <w:shd w:val="clear" w:color="auto" w:fill="auto"/>
            <w:vAlign w:val="center"/>
          </w:tcPr>
          <w:p w14:paraId="0CAB63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购置设备质量合格率</w:t>
            </w:r>
          </w:p>
        </w:tc>
        <w:tc>
          <w:tcPr>
            <w:tcW w:w="537" w:type="dxa"/>
            <w:tcBorders>
              <w:top w:val="single" w:color="000000" w:sz="4" w:space="0"/>
              <w:left w:val="single" w:color="000000" w:sz="4" w:space="0"/>
              <w:bottom w:val="nil"/>
              <w:right w:val="single" w:color="000000" w:sz="4" w:space="0"/>
            </w:tcBorders>
            <w:shd w:val="clear" w:color="auto" w:fill="auto"/>
            <w:vAlign w:val="center"/>
          </w:tcPr>
          <w:p w14:paraId="1A0D7C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719" w:type="dxa"/>
            <w:tcBorders>
              <w:top w:val="single" w:color="000000" w:sz="4" w:space="0"/>
              <w:left w:val="single" w:color="000000" w:sz="4" w:space="0"/>
              <w:bottom w:val="nil"/>
              <w:right w:val="single" w:color="000000" w:sz="4" w:space="0"/>
            </w:tcBorders>
            <w:shd w:val="clear" w:color="auto" w:fill="auto"/>
            <w:vAlign w:val="center"/>
          </w:tcPr>
          <w:p w14:paraId="793417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705" w:type="dxa"/>
            <w:tcBorders>
              <w:top w:val="single" w:color="000000" w:sz="4" w:space="0"/>
              <w:left w:val="single" w:color="000000" w:sz="4" w:space="0"/>
              <w:bottom w:val="nil"/>
              <w:right w:val="single" w:color="000000" w:sz="4" w:space="0"/>
            </w:tcBorders>
            <w:shd w:val="clear" w:color="auto" w:fill="auto"/>
            <w:vAlign w:val="center"/>
          </w:tcPr>
          <w:p w14:paraId="4246F2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623" w:type="dxa"/>
            <w:tcBorders>
              <w:top w:val="single" w:color="000000" w:sz="4" w:space="0"/>
              <w:left w:val="single" w:color="000000" w:sz="4" w:space="0"/>
              <w:bottom w:val="nil"/>
              <w:right w:val="single" w:color="000000" w:sz="4" w:space="0"/>
            </w:tcBorders>
            <w:shd w:val="clear" w:color="auto" w:fill="auto"/>
            <w:vAlign w:val="center"/>
          </w:tcPr>
          <w:p w14:paraId="43C83C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65" w:type="dxa"/>
            <w:tcBorders>
              <w:top w:val="single" w:color="000000" w:sz="4" w:space="0"/>
              <w:left w:val="single" w:color="000000" w:sz="4" w:space="0"/>
              <w:bottom w:val="nil"/>
              <w:right w:val="single" w:color="000000" w:sz="4" w:space="0"/>
            </w:tcBorders>
            <w:shd w:val="clear" w:color="auto" w:fill="auto"/>
            <w:vAlign w:val="center"/>
          </w:tcPr>
          <w:p w14:paraId="321C2E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47" w:type="dxa"/>
            <w:tcBorders>
              <w:top w:val="single" w:color="000000" w:sz="4" w:space="0"/>
              <w:left w:val="single" w:color="000000" w:sz="4" w:space="0"/>
              <w:bottom w:val="nil"/>
              <w:right w:val="single" w:color="000000" w:sz="4" w:space="0"/>
            </w:tcBorders>
            <w:shd w:val="clear" w:color="auto" w:fill="auto"/>
            <w:vAlign w:val="center"/>
          </w:tcPr>
          <w:p w14:paraId="7C1217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35" w:type="dxa"/>
            <w:tcBorders>
              <w:top w:val="single" w:color="000000" w:sz="4" w:space="0"/>
              <w:left w:val="single" w:color="000000" w:sz="4" w:space="0"/>
              <w:bottom w:val="nil"/>
              <w:right w:val="single" w:color="000000" w:sz="4" w:space="0"/>
            </w:tcBorders>
            <w:shd w:val="clear" w:color="auto" w:fill="auto"/>
            <w:vAlign w:val="center"/>
          </w:tcPr>
          <w:p w14:paraId="51D974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115" w:type="dxa"/>
            <w:tcBorders>
              <w:top w:val="single" w:color="000000" w:sz="4" w:space="0"/>
              <w:left w:val="single" w:color="000000" w:sz="4" w:space="0"/>
              <w:bottom w:val="nil"/>
              <w:right w:val="single" w:color="000000" w:sz="4" w:space="0"/>
            </w:tcBorders>
            <w:shd w:val="clear" w:color="auto" w:fill="auto"/>
            <w:vAlign w:val="center"/>
          </w:tcPr>
          <w:p w14:paraId="68107029">
            <w:pPr>
              <w:jc w:val="center"/>
              <w:rPr>
                <w:rFonts w:hint="eastAsia" w:ascii="宋体" w:hAnsi="宋体" w:eastAsia="宋体" w:cs="宋体"/>
                <w:i w:val="0"/>
                <w:iCs w:val="0"/>
                <w:color w:val="000000"/>
                <w:sz w:val="18"/>
                <w:szCs w:val="18"/>
                <w:u w:val="none"/>
              </w:rPr>
            </w:pPr>
          </w:p>
        </w:tc>
      </w:tr>
      <w:tr w14:paraId="5B9CFA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85" w:type="dxa"/>
            <w:vMerge w:val="continue"/>
            <w:tcBorders>
              <w:top w:val="single" w:color="000000" w:sz="4" w:space="0"/>
              <w:left w:val="single" w:color="000000" w:sz="4" w:space="0"/>
              <w:bottom w:val="nil"/>
              <w:right w:val="single" w:color="000000" w:sz="4" w:space="0"/>
            </w:tcBorders>
            <w:shd w:val="clear" w:color="auto" w:fill="auto"/>
            <w:vAlign w:val="center"/>
          </w:tcPr>
          <w:p w14:paraId="61D905B7">
            <w:pPr>
              <w:jc w:val="center"/>
              <w:rPr>
                <w:rFonts w:hint="eastAsia" w:ascii="宋体" w:hAnsi="宋体" w:eastAsia="宋体" w:cs="宋体"/>
                <w:i w:val="0"/>
                <w:iCs w:val="0"/>
                <w:color w:val="000000"/>
                <w:sz w:val="18"/>
                <w:szCs w:val="18"/>
                <w:u w:val="none"/>
              </w:rPr>
            </w:pPr>
          </w:p>
        </w:tc>
        <w:tc>
          <w:tcPr>
            <w:tcW w:w="690" w:type="dxa"/>
            <w:vMerge w:val="continue"/>
            <w:tcBorders>
              <w:top w:val="single" w:color="000000" w:sz="4" w:space="0"/>
              <w:left w:val="single" w:color="000000" w:sz="4" w:space="0"/>
              <w:bottom w:val="nil"/>
              <w:right w:val="single" w:color="000000" w:sz="4" w:space="0"/>
            </w:tcBorders>
            <w:shd w:val="clear" w:color="auto" w:fill="auto"/>
            <w:vAlign w:val="center"/>
          </w:tcPr>
          <w:p w14:paraId="52B434C2">
            <w:pPr>
              <w:jc w:val="center"/>
              <w:rPr>
                <w:rFonts w:hint="eastAsia" w:ascii="宋体" w:hAnsi="宋体" w:eastAsia="宋体" w:cs="宋体"/>
                <w:i w:val="0"/>
                <w:iCs w:val="0"/>
                <w:color w:val="000000"/>
                <w:sz w:val="18"/>
                <w:szCs w:val="18"/>
                <w:u w:val="none"/>
              </w:rPr>
            </w:pPr>
          </w:p>
        </w:tc>
        <w:tc>
          <w:tcPr>
            <w:tcW w:w="780" w:type="dxa"/>
            <w:vMerge w:val="continue"/>
            <w:tcBorders>
              <w:top w:val="single" w:color="000000" w:sz="4" w:space="0"/>
              <w:left w:val="single" w:color="000000" w:sz="4" w:space="0"/>
              <w:bottom w:val="nil"/>
              <w:right w:val="single" w:color="000000" w:sz="4" w:space="0"/>
            </w:tcBorders>
            <w:shd w:val="clear" w:color="auto" w:fill="auto"/>
            <w:vAlign w:val="center"/>
          </w:tcPr>
          <w:p w14:paraId="6866601C">
            <w:pPr>
              <w:jc w:val="center"/>
              <w:rPr>
                <w:rFonts w:hint="eastAsia" w:ascii="宋体" w:hAnsi="宋体" w:eastAsia="宋体" w:cs="宋体"/>
                <w:i w:val="0"/>
                <w:iCs w:val="0"/>
                <w:color w:val="000000"/>
                <w:sz w:val="18"/>
                <w:szCs w:val="18"/>
                <w:u w:val="none"/>
              </w:rPr>
            </w:pPr>
          </w:p>
        </w:tc>
        <w:tc>
          <w:tcPr>
            <w:tcW w:w="1624" w:type="dxa"/>
            <w:tcBorders>
              <w:top w:val="single" w:color="000000" w:sz="4" w:space="0"/>
              <w:left w:val="single" w:color="000000" w:sz="4" w:space="0"/>
              <w:bottom w:val="nil"/>
              <w:right w:val="single" w:color="000000" w:sz="4" w:space="0"/>
            </w:tcBorders>
            <w:shd w:val="clear" w:color="auto" w:fill="auto"/>
            <w:vAlign w:val="center"/>
          </w:tcPr>
          <w:p w14:paraId="482FF6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设备故障发生率</w:t>
            </w:r>
          </w:p>
        </w:tc>
        <w:tc>
          <w:tcPr>
            <w:tcW w:w="537" w:type="dxa"/>
            <w:tcBorders>
              <w:top w:val="single" w:color="000000" w:sz="4" w:space="0"/>
              <w:left w:val="single" w:color="000000" w:sz="4" w:space="0"/>
              <w:bottom w:val="nil"/>
              <w:right w:val="single" w:color="000000" w:sz="4" w:space="0"/>
            </w:tcBorders>
            <w:shd w:val="clear" w:color="auto" w:fill="auto"/>
            <w:vAlign w:val="center"/>
          </w:tcPr>
          <w:p w14:paraId="6AD9F7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719" w:type="dxa"/>
            <w:tcBorders>
              <w:top w:val="single" w:color="000000" w:sz="4" w:space="0"/>
              <w:left w:val="single" w:color="000000" w:sz="4" w:space="0"/>
              <w:bottom w:val="nil"/>
              <w:right w:val="single" w:color="000000" w:sz="4" w:space="0"/>
            </w:tcBorders>
            <w:shd w:val="clear" w:color="auto" w:fill="auto"/>
            <w:vAlign w:val="center"/>
          </w:tcPr>
          <w:p w14:paraId="52B00B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705" w:type="dxa"/>
            <w:tcBorders>
              <w:top w:val="single" w:color="000000" w:sz="4" w:space="0"/>
              <w:left w:val="single" w:color="000000" w:sz="4" w:space="0"/>
              <w:bottom w:val="nil"/>
              <w:right w:val="single" w:color="000000" w:sz="4" w:space="0"/>
            </w:tcBorders>
            <w:shd w:val="clear" w:color="auto" w:fill="auto"/>
            <w:vAlign w:val="center"/>
          </w:tcPr>
          <w:p w14:paraId="362FAA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23" w:type="dxa"/>
            <w:tcBorders>
              <w:top w:val="single" w:color="000000" w:sz="4" w:space="0"/>
              <w:left w:val="single" w:color="000000" w:sz="4" w:space="0"/>
              <w:bottom w:val="nil"/>
              <w:right w:val="single" w:color="000000" w:sz="4" w:space="0"/>
            </w:tcBorders>
            <w:shd w:val="clear" w:color="auto" w:fill="auto"/>
            <w:vAlign w:val="center"/>
          </w:tcPr>
          <w:p w14:paraId="511DB0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65" w:type="dxa"/>
            <w:tcBorders>
              <w:top w:val="single" w:color="000000" w:sz="4" w:space="0"/>
              <w:left w:val="single" w:color="000000" w:sz="4" w:space="0"/>
              <w:bottom w:val="nil"/>
              <w:right w:val="single" w:color="000000" w:sz="4" w:space="0"/>
            </w:tcBorders>
            <w:shd w:val="clear" w:color="auto" w:fill="auto"/>
            <w:vAlign w:val="center"/>
          </w:tcPr>
          <w:p w14:paraId="419CC1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47" w:type="dxa"/>
            <w:tcBorders>
              <w:top w:val="single" w:color="000000" w:sz="4" w:space="0"/>
              <w:left w:val="single" w:color="000000" w:sz="4" w:space="0"/>
              <w:bottom w:val="nil"/>
              <w:right w:val="single" w:color="000000" w:sz="4" w:space="0"/>
            </w:tcBorders>
            <w:shd w:val="clear" w:color="auto" w:fill="auto"/>
            <w:vAlign w:val="center"/>
          </w:tcPr>
          <w:p w14:paraId="0EE0A7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35" w:type="dxa"/>
            <w:tcBorders>
              <w:top w:val="single" w:color="000000" w:sz="4" w:space="0"/>
              <w:left w:val="single" w:color="000000" w:sz="4" w:space="0"/>
              <w:bottom w:val="nil"/>
              <w:right w:val="single" w:color="000000" w:sz="4" w:space="0"/>
            </w:tcBorders>
            <w:shd w:val="clear" w:color="auto" w:fill="auto"/>
            <w:vAlign w:val="center"/>
          </w:tcPr>
          <w:p w14:paraId="19B3E9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115" w:type="dxa"/>
            <w:tcBorders>
              <w:top w:val="single" w:color="000000" w:sz="4" w:space="0"/>
              <w:left w:val="single" w:color="000000" w:sz="4" w:space="0"/>
              <w:bottom w:val="nil"/>
              <w:right w:val="single" w:color="000000" w:sz="4" w:space="0"/>
            </w:tcBorders>
            <w:shd w:val="clear" w:color="auto" w:fill="auto"/>
            <w:vAlign w:val="center"/>
          </w:tcPr>
          <w:p w14:paraId="637DFDC3">
            <w:pPr>
              <w:jc w:val="center"/>
              <w:rPr>
                <w:rFonts w:hint="eastAsia" w:ascii="宋体" w:hAnsi="宋体" w:eastAsia="宋体" w:cs="宋体"/>
                <w:i w:val="0"/>
                <w:iCs w:val="0"/>
                <w:color w:val="000000"/>
                <w:sz w:val="18"/>
                <w:szCs w:val="18"/>
                <w:u w:val="none"/>
              </w:rPr>
            </w:pPr>
          </w:p>
        </w:tc>
      </w:tr>
      <w:tr w14:paraId="38F5C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85" w:type="dxa"/>
            <w:vMerge w:val="continue"/>
            <w:tcBorders>
              <w:top w:val="single" w:color="000000" w:sz="4" w:space="0"/>
              <w:left w:val="single" w:color="000000" w:sz="4" w:space="0"/>
              <w:bottom w:val="nil"/>
              <w:right w:val="single" w:color="000000" w:sz="4" w:space="0"/>
            </w:tcBorders>
            <w:shd w:val="clear" w:color="auto" w:fill="auto"/>
            <w:vAlign w:val="center"/>
          </w:tcPr>
          <w:p w14:paraId="56C66DD5">
            <w:pPr>
              <w:jc w:val="center"/>
              <w:rPr>
                <w:rFonts w:hint="eastAsia" w:ascii="宋体" w:hAnsi="宋体" w:eastAsia="宋体" w:cs="宋体"/>
                <w:i w:val="0"/>
                <w:iCs w:val="0"/>
                <w:color w:val="000000"/>
                <w:sz w:val="18"/>
                <w:szCs w:val="18"/>
                <w:u w:val="none"/>
              </w:rPr>
            </w:pPr>
          </w:p>
        </w:tc>
        <w:tc>
          <w:tcPr>
            <w:tcW w:w="690" w:type="dxa"/>
            <w:vMerge w:val="continue"/>
            <w:tcBorders>
              <w:top w:val="single" w:color="000000" w:sz="4" w:space="0"/>
              <w:left w:val="single" w:color="000000" w:sz="4" w:space="0"/>
              <w:bottom w:val="nil"/>
              <w:right w:val="single" w:color="000000" w:sz="4" w:space="0"/>
            </w:tcBorders>
            <w:shd w:val="clear" w:color="auto" w:fill="auto"/>
            <w:vAlign w:val="center"/>
          </w:tcPr>
          <w:p w14:paraId="5E722E71">
            <w:pPr>
              <w:jc w:val="center"/>
              <w:rPr>
                <w:rFonts w:hint="eastAsia" w:ascii="宋体" w:hAnsi="宋体" w:eastAsia="宋体" w:cs="宋体"/>
                <w:i w:val="0"/>
                <w:iCs w:val="0"/>
                <w:color w:val="000000"/>
                <w:sz w:val="18"/>
                <w:szCs w:val="18"/>
                <w:u w:val="none"/>
              </w:rPr>
            </w:pPr>
          </w:p>
        </w:tc>
        <w:tc>
          <w:tcPr>
            <w:tcW w:w="780" w:type="dxa"/>
            <w:vMerge w:val="restart"/>
            <w:tcBorders>
              <w:top w:val="single" w:color="000000" w:sz="4" w:space="0"/>
              <w:left w:val="single" w:color="000000" w:sz="4" w:space="0"/>
              <w:bottom w:val="nil"/>
              <w:right w:val="single" w:color="000000" w:sz="4" w:space="0"/>
            </w:tcBorders>
            <w:shd w:val="clear" w:color="auto" w:fill="auto"/>
            <w:vAlign w:val="center"/>
          </w:tcPr>
          <w:p w14:paraId="64174F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624" w:type="dxa"/>
            <w:tcBorders>
              <w:top w:val="single" w:color="000000" w:sz="4" w:space="0"/>
              <w:left w:val="single" w:color="000000" w:sz="4" w:space="0"/>
              <w:bottom w:val="nil"/>
              <w:right w:val="single" w:color="000000" w:sz="4" w:space="0"/>
            </w:tcBorders>
            <w:shd w:val="clear" w:color="auto" w:fill="auto"/>
            <w:vAlign w:val="center"/>
          </w:tcPr>
          <w:p w14:paraId="257543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设备购置完成时间</w:t>
            </w:r>
          </w:p>
        </w:tc>
        <w:tc>
          <w:tcPr>
            <w:tcW w:w="537" w:type="dxa"/>
            <w:tcBorders>
              <w:top w:val="single" w:color="000000" w:sz="4" w:space="0"/>
              <w:left w:val="single" w:color="000000" w:sz="4" w:space="0"/>
              <w:bottom w:val="nil"/>
              <w:right w:val="single" w:color="000000" w:sz="4" w:space="0"/>
            </w:tcBorders>
            <w:shd w:val="clear" w:color="auto" w:fill="auto"/>
            <w:vAlign w:val="center"/>
          </w:tcPr>
          <w:p w14:paraId="3FB002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719" w:type="dxa"/>
            <w:tcBorders>
              <w:top w:val="single" w:color="000000" w:sz="4" w:space="0"/>
              <w:left w:val="single" w:color="000000" w:sz="4" w:space="0"/>
              <w:bottom w:val="nil"/>
              <w:right w:val="single" w:color="000000" w:sz="4" w:space="0"/>
            </w:tcBorders>
            <w:shd w:val="clear" w:color="auto" w:fill="auto"/>
            <w:vAlign w:val="center"/>
          </w:tcPr>
          <w:p w14:paraId="3FABBA6F">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nil"/>
              <w:right w:val="single" w:color="000000" w:sz="4" w:space="0"/>
            </w:tcBorders>
            <w:shd w:val="clear" w:color="auto" w:fill="auto"/>
            <w:vAlign w:val="center"/>
          </w:tcPr>
          <w:p w14:paraId="435E50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12月底前</w:t>
            </w:r>
          </w:p>
        </w:tc>
        <w:tc>
          <w:tcPr>
            <w:tcW w:w="623" w:type="dxa"/>
            <w:tcBorders>
              <w:top w:val="single" w:color="000000" w:sz="4" w:space="0"/>
              <w:left w:val="single" w:color="000000" w:sz="4" w:space="0"/>
              <w:bottom w:val="nil"/>
              <w:right w:val="single" w:color="000000" w:sz="4" w:space="0"/>
            </w:tcBorders>
            <w:shd w:val="clear" w:color="auto" w:fill="auto"/>
            <w:vAlign w:val="center"/>
          </w:tcPr>
          <w:p w14:paraId="253274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2023年12月</w:t>
            </w:r>
          </w:p>
        </w:tc>
        <w:tc>
          <w:tcPr>
            <w:tcW w:w="665" w:type="dxa"/>
            <w:tcBorders>
              <w:top w:val="single" w:color="000000" w:sz="4" w:space="0"/>
              <w:left w:val="single" w:color="000000" w:sz="4" w:space="0"/>
              <w:bottom w:val="nil"/>
              <w:right w:val="single" w:color="000000" w:sz="4" w:space="0"/>
            </w:tcBorders>
            <w:shd w:val="clear" w:color="auto" w:fill="auto"/>
            <w:vAlign w:val="center"/>
          </w:tcPr>
          <w:p w14:paraId="556B7AE1">
            <w:pPr>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nil"/>
              <w:right w:val="single" w:color="000000" w:sz="4" w:space="0"/>
            </w:tcBorders>
            <w:shd w:val="clear" w:color="auto" w:fill="auto"/>
            <w:vAlign w:val="center"/>
          </w:tcPr>
          <w:p w14:paraId="3CFF59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35" w:type="dxa"/>
            <w:tcBorders>
              <w:top w:val="single" w:color="000000" w:sz="4" w:space="0"/>
              <w:left w:val="single" w:color="000000" w:sz="4" w:space="0"/>
              <w:bottom w:val="nil"/>
              <w:right w:val="single" w:color="000000" w:sz="4" w:space="0"/>
            </w:tcBorders>
            <w:shd w:val="clear" w:color="auto" w:fill="auto"/>
            <w:vAlign w:val="center"/>
          </w:tcPr>
          <w:p w14:paraId="25CC96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15" w:type="dxa"/>
            <w:tcBorders>
              <w:top w:val="single" w:color="000000" w:sz="4" w:space="0"/>
              <w:left w:val="single" w:color="000000" w:sz="4" w:space="0"/>
              <w:bottom w:val="nil"/>
              <w:right w:val="single" w:color="000000" w:sz="4" w:space="0"/>
            </w:tcBorders>
            <w:shd w:val="clear" w:color="auto" w:fill="auto"/>
            <w:vAlign w:val="center"/>
          </w:tcPr>
          <w:p w14:paraId="47C2B3D2">
            <w:pPr>
              <w:jc w:val="center"/>
              <w:rPr>
                <w:rFonts w:hint="eastAsia" w:ascii="宋体" w:hAnsi="宋体" w:eastAsia="宋体" w:cs="宋体"/>
                <w:i w:val="0"/>
                <w:iCs w:val="0"/>
                <w:color w:val="000000"/>
                <w:sz w:val="18"/>
                <w:szCs w:val="18"/>
                <w:u w:val="none"/>
              </w:rPr>
            </w:pPr>
          </w:p>
        </w:tc>
      </w:tr>
      <w:tr w14:paraId="684B20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85" w:type="dxa"/>
            <w:vMerge w:val="continue"/>
            <w:tcBorders>
              <w:top w:val="single" w:color="000000" w:sz="4" w:space="0"/>
              <w:left w:val="single" w:color="000000" w:sz="4" w:space="0"/>
              <w:bottom w:val="nil"/>
              <w:right w:val="single" w:color="000000" w:sz="4" w:space="0"/>
            </w:tcBorders>
            <w:shd w:val="clear" w:color="auto" w:fill="auto"/>
            <w:vAlign w:val="center"/>
          </w:tcPr>
          <w:p w14:paraId="56E15432">
            <w:pPr>
              <w:jc w:val="center"/>
              <w:rPr>
                <w:rFonts w:hint="eastAsia" w:ascii="宋体" w:hAnsi="宋体" w:eastAsia="宋体" w:cs="宋体"/>
                <w:i w:val="0"/>
                <w:iCs w:val="0"/>
                <w:color w:val="000000"/>
                <w:sz w:val="18"/>
                <w:szCs w:val="18"/>
                <w:u w:val="none"/>
              </w:rPr>
            </w:pPr>
          </w:p>
        </w:tc>
        <w:tc>
          <w:tcPr>
            <w:tcW w:w="690" w:type="dxa"/>
            <w:vMerge w:val="continue"/>
            <w:tcBorders>
              <w:top w:val="single" w:color="000000" w:sz="4" w:space="0"/>
              <w:left w:val="single" w:color="000000" w:sz="4" w:space="0"/>
              <w:bottom w:val="nil"/>
              <w:right w:val="single" w:color="000000" w:sz="4" w:space="0"/>
            </w:tcBorders>
            <w:shd w:val="clear" w:color="auto" w:fill="auto"/>
            <w:vAlign w:val="center"/>
          </w:tcPr>
          <w:p w14:paraId="483A4651">
            <w:pPr>
              <w:jc w:val="center"/>
              <w:rPr>
                <w:rFonts w:hint="eastAsia" w:ascii="宋体" w:hAnsi="宋体" w:eastAsia="宋体" w:cs="宋体"/>
                <w:i w:val="0"/>
                <w:iCs w:val="0"/>
                <w:color w:val="000000"/>
                <w:sz w:val="18"/>
                <w:szCs w:val="18"/>
                <w:u w:val="none"/>
              </w:rPr>
            </w:pPr>
          </w:p>
        </w:tc>
        <w:tc>
          <w:tcPr>
            <w:tcW w:w="780" w:type="dxa"/>
            <w:vMerge w:val="continue"/>
            <w:tcBorders>
              <w:top w:val="single" w:color="000000" w:sz="4" w:space="0"/>
              <w:left w:val="single" w:color="000000" w:sz="4" w:space="0"/>
              <w:bottom w:val="nil"/>
              <w:right w:val="single" w:color="000000" w:sz="4" w:space="0"/>
            </w:tcBorders>
            <w:shd w:val="clear" w:color="auto" w:fill="auto"/>
            <w:vAlign w:val="center"/>
          </w:tcPr>
          <w:p w14:paraId="10B976DD">
            <w:pPr>
              <w:jc w:val="center"/>
              <w:rPr>
                <w:rFonts w:hint="eastAsia" w:ascii="宋体" w:hAnsi="宋体" w:eastAsia="宋体" w:cs="宋体"/>
                <w:i w:val="0"/>
                <w:iCs w:val="0"/>
                <w:color w:val="000000"/>
                <w:sz w:val="18"/>
                <w:szCs w:val="18"/>
                <w:u w:val="none"/>
              </w:rPr>
            </w:pPr>
          </w:p>
        </w:tc>
        <w:tc>
          <w:tcPr>
            <w:tcW w:w="1624" w:type="dxa"/>
            <w:tcBorders>
              <w:top w:val="single" w:color="000000" w:sz="4" w:space="0"/>
              <w:left w:val="single" w:color="000000" w:sz="4" w:space="0"/>
              <w:bottom w:val="nil"/>
              <w:right w:val="single" w:color="000000" w:sz="4" w:space="0"/>
            </w:tcBorders>
            <w:shd w:val="clear" w:color="auto" w:fill="auto"/>
            <w:vAlign w:val="center"/>
          </w:tcPr>
          <w:p w14:paraId="3B940C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采购办公设备及时率</w:t>
            </w:r>
          </w:p>
        </w:tc>
        <w:tc>
          <w:tcPr>
            <w:tcW w:w="537" w:type="dxa"/>
            <w:tcBorders>
              <w:top w:val="single" w:color="000000" w:sz="4" w:space="0"/>
              <w:left w:val="single" w:color="000000" w:sz="4" w:space="0"/>
              <w:bottom w:val="nil"/>
              <w:right w:val="single" w:color="000000" w:sz="4" w:space="0"/>
            </w:tcBorders>
            <w:shd w:val="clear" w:color="auto" w:fill="auto"/>
            <w:vAlign w:val="center"/>
          </w:tcPr>
          <w:p w14:paraId="362742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719" w:type="dxa"/>
            <w:tcBorders>
              <w:top w:val="single" w:color="000000" w:sz="4" w:space="0"/>
              <w:left w:val="single" w:color="000000" w:sz="4" w:space="0"/>
              <w:bottom w:val="nil"/>
              <w:right w:val="single" w:color="000000" w:sz="4" w:space="0"/>
            </w:tcBorders>
            <w:shd w:val="clear" w:color="auto" w:fill="auto"/>
            <w:vAlign w:val="center"/>
          </w:tcPr>
          <w:p w14:paraId="13ACA18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705" w:type="dxa"/>
            <w:tcBorders>
              <w:top w:val="single" w:color="000000" w:sz="4" w:space="0"/>
              <w:left w:val="single" w:color="000000" w:sz="4" w:space="0"/>
              <w:bottom w:val="nil"/>
              <w:right w:val="single" w:color="000000" w:sz="4" w:space="0"/>
            </w:tcBorders>
            <w:shd w:val="clear" w:color="auto" w:fill="auto"/>
            <w:vAlign w:val="center"/>
          </w:tcPr>
          <w:p w14:paraId="15D806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623" w:type="dxa"/>
            <w:tcBorders>
              <w:top w:val="single" w:color="000000" w:sz="4" w:space="0"/>
              <w:left w:val="single" w:color="000000" w:sz="4" w:space="0"/>
              <w:bottom w:val="nil"/>
              <w:right w:val="single" w:color="000000" w:sz="4" w:space="0"/>
            </w:tcBorders>
            <w:shd w:val="clear" w:color="auto" w:fill="auto"/>
            <w:vAlign w:val="center"/>
          </w:tcPr>
          <w:p w14:paraId="0A262A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65" w:type="dxa"/>
            <w:tcBorders>
              <w:top w:val="single" w:color="000000" w:sz="4" w:space="0"/>
              <w:left w:val="single" w:color="000000" w:sz="4" w:space="0"/>
              <w:bottom w:val="nil"/>
              <w:right w:val="single" w:color="000000" w:sz="4" w:space="0"/>
            </w:tcBorders>
            <w:shd w:val="clear" w:color="auto" w:fill="auto"/>
            <w:vAlign w:val="center"/>
          </w:tcPr>
          <w:p w14:paraId="7A2B34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47" w:type="dxa"/>
            <w:tcBorders>
              <w:top w:val="single" w:color="000000" w:sz="4" w:space="0"/>
              <w:left w:val="single" w:color="000000" w:sz="4" w:space="0"/>
              <w:bottom w:val="nil"/>
              <w:right w:val="single" w:color="000000" w:sz="4" w:space="0"/>
            </w:tcBorders>
            <w:shd w:val="clear" w:color="auto" w:fill="auto"/>
            <w:vAlign w:val="center"/>
          </w:tcPr>
          <w:p w14:paraId="78C897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35" w:type="dxa"/>
            <w:tcBorders>
              <w:top w:val="single" w:color="000000" w:sz="4" w:space="0"/>
              <w:left w:val="single" w:color="000000" w:sz="4" w:space="0"/>
              <w:bottom w:val="nil"/>
              <w:right w:val="single" w:color="000000" w:sz="4" w:space="0"/>
            </w:tcBorders>
            <w:shd w:val="clear" w:color="auto" w:fill="auto"/>
            <w:vAlign w:val="center"/>
          </w:tcPr>
          <w:p w14:paraId="348D35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15" w:type="dxa"/>
            <w:tcBorders>
              <w:top w:val="single" w:color="000000" w:sz="4" w:space="0"/>
              <w:left w:val="single" w:color="000000" w:sz="4" w:space="0"/>
              <w:bottom w:val="nil"/>
              <w:right w:val="single" w:color="000000" w:sz="4" w:space="0"/>
            </w:tcBorders>
            <w:shd w:val="clear" w:color="auto" w:fill="auto"/>
            <w:vAlign w:val="center"/>
          </w:tcPr>
          <w:p w14:paraId="1C8950E1">
            <w:pPr>
              <w:jc w:val="center"/>
              <w:rPr>
                <w:rFonts w:hint="eastAsia" w:ascii="宋体" w:hAnsi="宋体" w:eastAsia="宋体" w:cs="宋体"/>
                <w:i w:val="0"/>
                <w:iCs w:val="0"/>
                <w:color w:val="000000"/>
                <w:sz w:val="18"/>
                <w:szCs w:val="18"/>
                <w:u w:val="none"/>
              </w:rPr>
            </w:pPr>
          </w:p>
        </w:tc>
      </w:tr>
      <w:tr w14:paraId="215C0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85" w:type="dxa"/>
            <w:vMerge w:val="continue"/>
            <w:tcBorders>
              <w:top w:val="single" w:color="000000" w:sz="4" w:space="0"/>
              <w:left w:val="single" w:color="000000" w:sz="4" w:space="0"/>
              <w:bottom w:val="nil"/>
              <w:right w:val="single" w:color="000000" w:sz="4" w:space="0"/>
            </w:tcBorders>
            <w:shd w:val="clear" w:color="auto" w:fill="auto"/>
            <w:vAlign w:val="center"/>
          </w:tcPr>
          <w:p w14:paraId="295DE87F">
            <w:pPr>
              <w:jc w:val="center"/>
              <w:rPr>
                <w:rFonts w:hint="eastAsia" w:ascii="宋体" w:hAnsi="宋体" w:eastAsia="宋体" w:cs="宋体"/>
                <w:i w:val="0"/>
                <w:iCs w:val="0"/>
                <w:color w:val="000000"/>
                <w:sz w:val="18"/>
                <w:szCs w:val="18"/>
                <w:u w:val="none"/>
              </w:rPr>
            </w:pPr>
          </w:p>
        </w:tc>
        <w:tc>
          <w:tcPr>
            <w:tcW w:w="690" w:type="dxa"/>
            <w:vMerge w:val="continue"/>
            <w:tcBorders>
              <w:top w:val="single" w:color="000000" w:sz="4" w:space="0"/>
              <w:left w:val="single" w:color="000000" w:sz="4" w:space="0"/>
              <w:bottom w:val="nil"/>
              <w:right w:val="single" w:color="000000" w:sz="4" w:space="0"/>
            </w:tcBorders>
            <w:shd w:val="clear" w:color="auto" w:fill="auto"/>
            <w:vAlign w:val="center"/>
          </w:tcPr>
          <w:p w14:paraId="288CE57D">
            <w:pPr>
              <w:jc w:val="center"/>
              <w:rPr>
                <w:rFonts w:hint="eastAsia" w:ascii="宋体" w:hAnsi="宋体" w:eastAsia="宋体" w:cs="宋体"/>
                <w:i w:val="0"/>
                <w:iCs w:val="0"/>
                <w:color w:val="000000"/>
                <w:sz w:val="18"/>
                <w:szCs w:val="18"/>
                <w:u w:val="none"/>
              </w:rPr>
            </w:pPr>
          </w:p>
        </w:tc>
        <w:tc>
          <w:tcPr>
            <w:tcW w:w="780" w:type="dxa"/>
            <w:vMerge w:val="continue"/>
            <w:tcBorders>
              <w:top w:val="single" w:color="000000" w:sz="4" w:space="0"/>
              <w:left w:val="single" w:color="000000" w:sz="4" w:space="0"/>
              <w:bottom w:val="nil"/>
              <w:right w:val="single" w:color="000000" w:sz="4" w:space="0"/>
            </w:tcBorders>
            <w:shd w:val="clear" w:color="auto" w:fill="auto"/>
            <w:vAlign w:val="center"/>
          </w:tcPr>
          <w:p w14:paraId="2C2CC9E5">
            <w:pPr>
              <w:jc w:val="center"/>
              <w:rPr>
                <w:rFonts w:hint="eastAsia" w:ascii="宋体" w:hAnsi="宋体" w:eastAsia="宋体" w:cs="宋体"/>
                <w:i w:val="0"/>
                <w:iCs w:val="0"/>
                <w:color w:val="000000"/>
                <w:sz w:val="18"/>
                <w:szCs w:val="18"/>
                <w:u w:val="none"/>
              </w:rPr>
            </w:pPr>
          </w:p>
        </w:tc>
        <w:tc>
          <w:tcPr>
            <w:tcW w:w="1624" w:type="dxa"/>
            <w:tcBorders>
              <w:top w:val="single" w:color="000000" w:sz="4" w:space="0"/>
              <w:left w:val="single" w:color="000000" w:sz="4" w:space="0"/>
              <w:bottom w:val="nil"/>
              <w:right w:val="single" w:color="000000" w:sz="4" w:space="0"/>
            </w:tcBorders>
            <w:shd w:val="clear" w:color="auto" w:fill="auto"/>
            <w:vAlign w:val="center"/>
          </w:tcPr>
          <w:p w14:paraId="2A0662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设备验收及时率</w:t>
            </w:r>
          </w:p>
        </w:tc>
        <w:tc>
          <w:tcPr>
            <w:tcW w:w="537" w:type="dxa"/>
            <w:tcBorders>
              <w:top w:val="single" w:color="000000" w:sz="4" w:space="0"/>
              <w:left w:val="single" w:color="000000" w:sz="4" w:space="0"/>
              <w:bottom w:val="nil"/>
              <w:right w:val="single" w:color="000000" w:sz="4" w:space="0"/>
            </w:tcBorders>
            <w:shd w:val="clear" w:color="auto" w:fill="auto"/>
            <w:vAlign w:val="center"/>
          </w:tcPr>
          <w:p w14:paraId="34F1A7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719" w:type="dxa"/>
            <w:tcBorders>
              <w:top w:val="single" w:color="000000" w:sz="4" w:space="0"/>
              <w:left w:val="single" w:color="000000" w:sz="4" w:space="0"/>
              <w:bottom w:val="nil"/>
              <w:right w:val="single" w:color="000000" w:sz="4" w:space="0"/>
            </w:tcBorders>
            <w:shd w:val="clear" w:color="auto" w:fill="auto"/>
            <w:vAlign w:val="center"/>
          </w:tcPr>
          <w:p w14:paraId="4210EE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705" w:type="dxa"/>
            <w:tcBorders>
              <w:top w:val="single" w:color="000000" w:sz="4" w:space="0"/>
              <w:left w:val="single" w:color="000000" w:sz="4" w:space="0"/>
              <w:bottom w:val="nil"/>
              <w:right w:val="single" w:color="000000" w:sz="4" w:space="0"/>
            </w:tcBorders>
            <w:shd w:val="clear" w:color="auto" w:fill="auto"/>
            <w:vAlign w:val="center"/>
          </w:tcPr>
          <w:p w14:paraId="1BF4C9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623" w:type="dxa"/>
            <w:tcBorders>
              <w:top w:val="single" w:color="000000" w:sz="4" w:space="0"/>
              <w:left w:val="single" w:color="000000" w:sz="4" w:space="0"/>
              <w:bottom w:val="nil"/>
              <w:right w:val="single" w:color="000000" w:sz="4" w:space="0"/>
            </w:tcBorders>
            <w:shd w:val="clear" w:color="auto" w:fill="auto"/>
            <w:vAlign w:val="center"/>
          </w:tcPr>
          <w:p w14:paraId="2E1E99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665" w:type="dxa"/>
            <w:tcBorders>
              <w:top w:val="single" w:color="000000" w:sz="4" w:space="0"/>
              <w:left w:val="single" w:color="000000" w:sz="4" w:space="0"/>
              <w:bottom w:val="nil"/>
              <w:right w:val="single" w:color="000000" w:sz="4" w:space="0"/>
            </w:tcBorders>
            <w:shd w:val="clear" w:color="auto" w:fill="auto"/>
            <w:vAlign w:val="center"/>
          </w:tcPr>
          <w:p w14:paraId="342735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47" w:type="dxa"/>
            <w:tcBorders>
              <w:top w:val="single" w:color="000000" w:sz="4" w:space="0"/>
              <w:left w:val="single" w:color="000000" w:sz="4" w:space="0"/>
              <w:bottom w:val="nil"/>
              <w:right w:val="single" w:color="000000" w:sz="4" w:space="0"/>
            </w:tcBorders>
            <w:shd w:val="clear" w:color="auto" w:fill="auto"/>
            <w:vAlign w:val="center"/>
          </w:tcPr>
          <w:p w14:paraId="72D454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35" w:type="dxa"/>
            <w:tcBorders>
              <w:top w:val="single" w:color="000000" w:sz="4" w:space="0"/>
              <w:left w:val="single" w:color="000000" w:sz="4" w:space="0"/>
              <w:bottom w:val="nil"/>
              <w:right w:val="single" w:color="000000" w:sz="4" w:space="0"/>
            </w:tcBorders>
            <w:shd w:val="clear" w:color="auto" w:fill="auto"/>
            <w:vAlign w:val="center"/>
          </w:tcPr>
          <w:p w14:paraId="787AB0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15" w:type="dxa"/>
            <w:tcBorders>
              <w:top w:val="single" w:color="000000" w:sz="4" w:space="0"/>
              <w:left w:val="single" w:color="000000" w:sz="4" w:space="0"/>
              <w:bottom w:val="nil"/>
              <w:right w:val="single" w:color="000000" w:sz="4" w:space="0"/>
            </w:tcBorders>
            <w:shd w:val="clear" w:color="auto" w:fill="auto"/>
            <w:vAlign w:val="center"/>
          </w:tcPr>
          <w:p w14:paraId="58CC19FF">
            <w:pPr>
              <w:jc w:val="center"/>
              <w:rPr>
                <w:rFonts w:hint="eastAsia" w:ascii="宋体" w:hAnsi="宋体" w:eastAsia="宋体" w:cs="宋体"/>
                <w:i w:val="0"/>
                <w:iCs w:val="0"/>
                <w:color w:val="000000"/>
                <w:sz w:val="18"/>
                <w:szCs w:val="18"/>
                <w:u w:val="none"/>
              </w:rPr>
            </w:pPr>
          </w:p>
        </w:tc>
      </w:tr>
      <w:tr w14:paraId="343B2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85" w:type="dxa"/>
            <w:vMerge w:val="continue"/>
            <w:tcBorders>
              <w:top w:val="single" w:color="000000" w:sz="4" w:space="0"/>
              <w:left w:val="single" w:color="000000" w:sz="4" w:space="0"/>
              <w:bottom w:val="nil"/>
              <w:right w:val="single" w:color="000000" w:sz="4" w:space="0"/>
            </w:tcBorders>
            <w:shd w:val="clear" w:color="auto" w:fill="auto"/>
            <w:vAlign w:val="center"/>
          </w:tcPr>
          <w:p w14:paraId="61BE18FD">
            <w:pPr>
              <w:jc w:val="center"/>
              <w:rPr>
                <w:rFonts w:hint="eastAsia" w:ascii="宋体" w:hAnsi="宋体" w:eastAsia="宋体" w:cs="宋体"/>
                <w:i w:val="0"/>
                <w:iCs w:val="0"/>
                <w:color w:val="000000"/>
                <w:sz w:val="18"/>
                <w:szCs w:val="18"/>
                <w:u w:val="none"/>
              </w:rPr>
            </w:pPr>
          </w:p>
        </w:tc>
        <w:tc>
          <w:tcPr>
            <w:tcW w:w="690" w:type="dxa"/>
            <w:vMerge w:val="continue"/>
            <w:tcBorders>
              <w:top w:val="single" w:color="000000" w:sz="4" w:space="0"/>
              <w:left w:val="single" w:color="000000" w:sz="4" w:space="0"/>
              <w:bottom w:val="nil"/>
              <w:right w:val="single" w:color="000000" w:sz="4" w:space="0"/>
            </w:tcBorders>
            <w:shd w:val="clear" w:color="auto" w:fill="auto"/>
            <w:vAlign w:val="center"/>
          </w:tcPr>
          <w:p w14:paraId="421DF57F">
            <w:pPr>
              <w:jc w:val="center"/>
              <w:rPr>
                <w:rFonts w:hint="eastAsia" w:ascii="宋体" w:hAnsi="宋体" w:eastAsia="宋体" w:cs="宋体"/>
                <w:i w:val="0"/>
                <w:iCs w:val="0"/>
                <w:color w:val="000000"/>
                <w:sz w:val="18"/>
                <w:szCs w:val="18"/>
                <w:u w:val="none"/>
              </w:rPr>
            </w:pPr>
          </w:p>
        </w:tc>
        <w:tc>
          <w:tcPr>
            <w:tcW w:w="780" w:type="dxa"/>
            <w:vMerge w:val="restart"/>
            <w:tcBorders>
              <w:top w:val="single" w:color="000000" w:sz="4" w:space="0"/>
              <w:left w:val="single" w:color="000000" w:sz="4" w:space="0"/>
              <w:bottom w:val="nil"/>
              <w:right w:val="single" w:color="000000" w:sz="4" w:space="0"/>
            </w:tcBorders>
            <w:shd w:val="clear" w:color="auto" w:fill="auto"/>
            <w:vAlign w:val="center"/>
          </w:tcPr>
          <w:p w14:paraId="3D2CF8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624" w:type="dxa"/>
            <w:tcBorders>
              <w:top w:val="single" w:color="000000" w:sz="4" w:space="0"/>
              <w:left w:val="single" w:color="000000" w:sz="4" w:space="0"/>
              <w:bottom w:val="nil"/>
              <w:right w:val="single" w:color="000000" w:sz="4" w:space="0"/>
            </w:tcBorders>
            <w:shd w:val="clear" w:color="auto" w:fill="auto"/>
            <w:vAlign w:val="center"/>
          </w:tcPr>
          <w:p w14:paraId="25AEBC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国产电脑采购成本</w:t>
            </w:r>
          </w:p>
        </w:tc>
        <w:tc>
          <w:tcPr>
            <w:tcW w:w="537" w:type="dxa"/>
            <w:tcBorders>
              <w:top w:val="single" w:color="000000" w:sz="4" w:space="0"/>
              <w:left w:val="single" w:color="000000" w:sz="4" w:space="0"/>
              <w:bottom w:val="nil"/>
              <w:right w:val="single" w:color="000000" w:sz="4" w:space="0"/>
            </w:tcBorders>
            <w:shd w:val="clear" w:color="auto" w:fill="auto"/>
            <w:vAlign w:val="center"/>
          </w:tcPr>
          <w:p w14:paraId="3DF81D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719" w:type="dxa"/>
            <w:tcBorders>
              <w:top w:val="single" w:color="000000" w:sz="4" w:space="0"/>
              <w:left w:val="single" w:color="000000" w:sz="4" w:space="0"/>
              <w:bottom w:val="nil"/>
              <w:right w:val="single" w:color="000000" w:sz="4" w:space="0"/>
            </w:tcBorders>
            <w:shd w:val="clear" w:color="auto" w:fill="auto"/>
            <w:vAlign w:val="center"/>
          </w:tcPr>
          <w:p w14:paraId="1C7807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705" w:type="dxa"/>
            <w:tcBorders>
              <w:top w:val="single" w:color="000000" w:sz="4" w:space="0"/>
              <w:left w:val="single" w:color="000000" w:sz="4" w:space="0"/>
              <w:bottom w:val="nil"/>
              <w:right w:val="single" w:color="000000" w:sz="4" w:space="0"/>
            </w:tcBorders>
            <w:shd w:val="clear" w:color="auto" w:fill="auto"/>
            <w:vAlign w:val="center"/>
          </w:tcPr>
          <w:p w14:paraId="6667F3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8000</w:t>
            </w:r>
          </w:p>
        </w:tc>
        <w:tc>
          <w:tcPr>
            <w:tcW w:w="623" w:type="dxa"/>
            <w:tcBorders>
              <w:top w:val="single" w:color="000000" w:sz="4" w:space="0"/>
              <w:left w:val="single" w:color="000000" w:sz="4" w:space="0"/>
              <w:bottom w:val="nil"/>
              <w:right w:val="single" w:color="000000" w:sz="4" w:space="0"/>
            </w:tcBorders>
            <w:shd w:val="clear" w:color="auto" w:fill="auto"/>
            <w:vAlign w:val="center"/>
          </w:tcPr>
          <w:p w14:paraId="5AB307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7000</w:t>
            </w:r>
          </w:p>
        </w:tc>
        <w:tc>
          <w:tcPr>
            <w:tcW w:w="665" w:type="dxa"/>
            <w:tcBorders>
              <w:top w:val="single" w:color="000000" w:sz="4" w:space="0"/>
              <w:left w:val="single" w:color="000000" w:sz="4" w:space="0"/>
              <w:bottom w:val="nil"/>
              <w:right w:val="single" w:color="000000" w:sz="4" w:space="0"/>
            </w:tcBorders>
            <w:shd w:val="clear" w:color="auto" w:fill="auto"/>
            <w:vAlign w:val="center"/>
          </w:tcPr>
          <w:p w14:paraId="6C031E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元/台</w:t>
            </w:r>
          </w:p>
        </w:tc>
        <w:tc>
          <w:tcPr>
            <w:tcW w:w="647" w:type="dxa"/>
            <w:tcBorders>
              <w:top w:val="single" w:color="000000" w:sz="4" w:space="0"/>
              <w:left w:val="single" w:color="000000" w:sz="4" w:space="0"/>
              <w:bottom w:val="nil"/>
              <w:right w:val="single" w:color="000000" w:sz="4" w:space="0"/>
            </w:tcBorders>
            <w:shd w:val="clear" w:color="auto" w:fill="auto"/>
            <w:vAlign w:val="center"/>
          </w:tcPr>
          <w:p w14:paraId="0DA411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735" w:type="dxa"/>
            <w:tcBorders>
              <w:top w:val="single" w:color="000000" w:sz="4" w:space="0"/>
              <w:left w:val="single" w:color="000000" w:sz="4" w:space="0"/>
              <w:bottom w:val="nil"/>
              <w:right w:val="single" w:color="000000" w:sz="4" w:space="0"/>
            </w:tcBorders>
            <w:shd w:val="clear" w:color="auto" w:fill="auto"/>
            <w:vAlign w:val="center"/>
          </w:tcPr>
          <w:p w14:paraId="4AF909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2115" w:type="dxa"/>
            <w:tcBorders>
              <w:top w:val="single" w:color="000000" w:sz="4" w:space="0"/>
              <w:left w:val="single" w:color="000000" w:sz="4" w:space="0"/>
              <w:bottom w:val="nil"/>
              <w:right w:val="single" w:color="000000" w:sz="4" w:space="0"/>
            </w:tcBorders>
            <w:shd w:val="clear" w:color="auto" w:fill="auto"/>
            <w:vAlign w:val="center"/>
          </w:tcPr>
          <w:p w14:paraId="603F0F38">
            <w:pPr>
              <w:jc w:val="center"/>
              <w:rPr>
                <w:rFonts w:hint="eastAsia" w:ascii="宋体" w:hAnsi="宋体" w:eastAsia="宋体" w:cs="宋体"/>
                <w:i w:val="0"/>
                <w:iCs w:val="0"/>
                <w:color w:val="000000"/>
                <w:sz w:val="18"/>
                <w:szCs w:val="18"/>
                <w:u w:val="none"/>
              </w:rPr>
            </w:pPr>
          </w:p>
        </w:tc>
      </w:tr>
      <w:tr w14:paraId="1B324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85" w:type="dxa"/>
            <w:vMerge w:val="continue"/>
            <w:tcBorders>
              <w:top w:val="single" w:color="000000" w:sz="4" w:space="0"/>
              <w:left w:val="single" w:color="000000" w:sz="4" w:space="0"/>
              <w:bottom w:val="nil"/>
              <w:right w:val="single" w:color="000000" w:sz="4" w:space="0"/>
            </w:tcBorders>
            <w:shd w:val="clear" w:color="auto" w:fill="auto"/>
            <w:vAlign w:val="center"/>
          </w:tcPr>
          <w:p w14:paraId="72F6BD3C">
            <w:pPr>
              <w:jc w:val="center"/>
              <w:rPr>
                <w:rFonts w:hint="eastAsia" w:ascii="宋体" w:hAnsi="宋体" w:eastAsia="宋体" w:cs="宋体"/>
                <w:i w:val="0"/>
                <w:iCs w:val="0"/>
                <w:color w:val="000000"/>
                <w:sz w:val="18"/>
                <w:szCs w:val="18"/>
                <w:u w:val="none"/>
              </w:rPr>
            </w:pPr>
          </w:p>
        </w:tc>
        <w:tc>
          <w:tcPr>
            <w:tcW w:w="690" w:type="dxa"/>
            <w:vMerge w:val="continue"/>
            <w:tcBorders>
              <w:top w:val="single" w:color="000000" w:sz="4" w:space="0"/>
              <w:left w:val="single" w:color="000000" w:sz="4" w:space="0"/>
              <w:bottom w:val="nil"/>
              <w:right w:val="single" w:color="000000" w:sz="4" w:space="0"/>
            </w:tcBorders>
            <w:shd w:val="clear" w:color="auto" w:fill="auto"/>
            <w:vAlign w:val="center"/>
          </w:tcPr>
          <w:p w14:paraId="014B00F8">
            <w:pPr>
              <w:jc w:val="center"/>
              <w:rPr>
                <w:rFonts w:hint="eastAsia" w:ascii="宋体" w:hAnsi="宋体" w:eastAsia="宋体" w:cs="宋体"/>
                <w:i w:val="0"/>
                <w:iCs w:val="0"/>
                <w:color w:val="000000"/>
                <w:sz w:val="18"/>
                <w:szCs w:val="18"/>
                <w:u w:val="none"/>
              </w:rPr>
            </w:pPr>
          </w:p>
        </w:tc>
        <w:tc>
          <w:tcPr>
            <w:tcW w:w="780" w:type="dxa"/>
            <w:vMerge w:val="continue"/>
            <w:tcBorders>
              <w:top w:val="single" w:color="000000" w:sz="4" w:space="0"/>
              <w:left w:val="single" w:color="000000" w:sz="4" w:space="0"/>
              <w:bottom w:val="nil"/>
              <w:right w:val="single" w:color="000000" w:sz="4" w:space="0"/>
            </w:tcBorders>
            <w:shd w:val="clear" w:color="auto" w:fill="auto"/>
            <w:vAlign w:val="center"/>
          </w:tcPr>
          <w:p w14:paraId="74A63955">
            <w:pPr>
              <w:jc w:val="center"/>
              <w:rPr>
                <w:rFonts w:hint="eastAsia" w:ascii="宋体" w:hAnsi="宋体" w:eastAsia="宋体" w:cs="宋体"/>
                <w:i w:val="0"/>
                <w:iCs w:val="0"/>
                <w:color w:val="000000"/>
                <w:sz w:val="18"/>
                <w:szCs w:val="18"/>
                <w:u w:val="none"/>
              </w:rPr>
            </w:pPr>
          </w:p>
        </w:tc>
        <w:tc>
          <w:tcPr>
            <w:tcW w:w="1624" w:type="dxa"/>
            <w:tcBorders>
              <w:top w:val="single" w:color="000000" w:sz="4" w:space="0"/>
              <w:left w:val="single" w:color="000000" w:sz="4" w:space="0"/>
              <w:bottom w:val="nil"/>
              <w:right w:val="single" w:color="000000" w:sz="4" w:space="0"/>
            </w:tcBorders>
            <w:shd w:val="clear" w:color="auto" w:fill="auto"/>
            <w:vAlign w:val="center"/>
          </w:tcPr>
          <w:p w14:paraId="00DF39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国产打印机采购成本</w:t>
            </w:r>
          </w:p>
        </w:tc>
        <w:tc>
          <w:tcPr>
            <w:tcW w:w="537" w:type="dxa"/>
            <w:tcBorders>
              <w:top w:val="single" w:color="000000" w:sz="4" w:space="0"/>
              <w:left w:val="single" w:color="000000" w:sz="4" w:space="0"/>
              <w:bottom w:val="nil"/>
              <w:right w:val="single" w:color="000000" w:sz="4" w:space="0"/>
            </w:tcBorders>
            <w:shd w:val="clear" w:color="auto" w:fill="auto"/>
            <w:vAlign w:val="center"/>
          </w:tcPr>
          <w:p w14:paraId="74BE61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719" w:type="dxa"/>
            <w:tcBorders>
              <w:top w:val="single" w:color="000000" w:sz="4" w:space="0"/>
              <w:left w:val="single" w:color="000000" w:sz="4" w:space="0"/>
              <w:bottom w:val="nil"/>
              <w:right w:val="single" w:color="000000" w:sz="4" w:space="0"/>
            </w:tcBorders>
            <w:shd w:val="clear" w:color="auto" w:fill="auto"/>
            <w:vAlign w:val="center"/>
          </w:tcPr>
          <w:p w14:paraId="42FDE6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705" w:type="dxa"/>
            <w:tcBorders>
              <w:top w:val="single" w:color="000000" w:sz="4" w:space="0"/>
              <w:left w:val="single" w:color="000000" w:sz="4" w:space="0"/>
              <w:bottom w:val="nil"/>
              <w:right w:val="single" w:color="000000" w:sz="4" w:space="0"/>
            </w:tcBorders>
            <w:shd w:val="clear" w:color="auto" w:fill="auto"/>
            <w:vAlign w:val="center"/>
          </w:tcPr>
          <w:p w14:paraId="688A53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5000</w:t>
            </w:r>
          </w:p>
        </w:tc>
        <w:tc>
          <w:tcPr>
            <w:tcW w:w="623" w:type="dxa"/>
            <w:tcBorders>
              <w:top w:val="single" w:color="000000" w:sz="4" w:space="0"/>
              <w:left w:val="single" w:color="000000" w:sz="4" w:space="0"/>
              <w:bottom w:val="nil"/>
              <w:right w:val="single" w:color="000000" w:sz="4" w:space="0"/>
            </w:tcBorders>
            <w:shd w:val="clear" w:color="auto" w:fill="auto"/>
            <w:vAlign w:val="center"/>
          </w:tcPr>
          <w:p w14:paraId="52C4ED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3500</w:t>
            </w:r>
          </w:p>
        </w:tc>
        <w:tc>
          <w:tcPr>
            <w:tcW w:w="665" w:type="dxa"/>
            <w:tcBorders>
              <w:top w:val="single" w:color="000000" w:sz="4" w:space="0"/>
              <w:left w:val="single" w:color="000000" w:sz="4" w:space="0"/>
              <w:bottom w:val="nil"/>
              <w:right w:val="single" w:color="000000" w:sz="4" w:space="0"/>
            </w:tcBorders>
            <w:shd w:val="clear" w:color="auto" w:fill="auto"/>
            <w:vAlign w:val="center"/>
          </w:tcPr>
          <w:p w14:paraId="553896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元/台</w:t>
            </w:r>
          </w:p>
        </w:tc>
        <w:tc>
          <w:tcPr>
            <w:tcW w:w="647" w:type="dxa"/>
            <w:tcBorders>
              <w:top w:val="single" w:color="000000" w:sz="4" w:space="0"/>
              <w:left w:val="single" w:color="000000" w:sz="4" w:space="0"/>
              <w:bottom w:val="nil"/>
              <w:right w:val="single" w:color="000000" w:sz="4" w:space="0"/>
            </w:tcBorders>
            <w:shd w:val="clear" w:color="auto" w:fill="auto"/>
            <w:vAlign w:val="center"/>
          </w:tcPr>
          <w:p w14:paraId="232F13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35" w:type="dxa"/>
            <w:tcBorders>
              <w:top w:val="single" w:color="000000" w:sz="4" w:space="0"/>
              <w:left w:val="single" w:color="000000" w:sz="4" w:space="0"/>
              <w:bottom w:val="nil"/>
              <w:right w:val="single" w:color="000000" w:sz="4" w:space="0"/>
            </w:tcBorders>
            <w:shd w:val="clear" w:color="auto" w:fill="auto"/>
            <w:vAlign w:val="center"/>
          </w:tcPr>
          <w:p w14:paraId="44F50E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15" w:type="dxa"/>
            <w:tcBorders>
              <w:top w:val="single" w:color="000000" w:sz="4" w:space="0"/>
              <w:left w:val="single" w:color="000000" w:sz="4" w:space="0"/>
              <w:bottom w:val="nil"/>
              <w:right w:val="single" w:color="000000" w:sz="4" w:space="0"/>
            </w:tcBorders>
            <w:shd w:val="clear" w:color="auto" w:fill="auto"/>
            <w:vAlign w:val="center"/>
          </w:tcPr>
          <w:p w14:paraId="2671D2F1">
            <w:pPr>
              <w:jc w:val="center"/>
              <w:rPr>
                <w:rFonts w:hint="eastAsia" w:ascii="宋体" w:hAnsi="宋体" w:eastAsia="宋体" w:cs="宋体"/>
                <w:i w:val="0"/>
                <w:iCs w:val="0"/>
                <w:color w:val="000000"/>
                <w:sz w:val="18"/>
                <w:szCs w:val="18"/>
                <w:u w:val="none"/>
              </w:rPr>
            </w:pPr>
          </w:p>
        </w:tc>
      </w:tr>
      <w:tr w14:paraId="2BF85F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85" w:type="dxa"/>
            <w:vMerge w:val="continue"/>
            <w:tcBorders>
              <w:top w:val="single" w:color="000000" w:sz="4" w:space="0"/>
              <w:left w:val="single" w:color="000000" w:sz="4" w:space="0"/>
              <w:bottom w:val="nil"/>
              <w:right w:val="single" w:color="000000" w:sz="4" w:space="0"/>
            </w:tcBorders>
            <w:shd w:val="clear" w:color="auto" w:fill="auto"/>
            <w:vAlign w:val="center"/>
          </w:tcPr>
          <w:p w14:paraId="574C7FFD">
            <w:pPr>
              <w:jc w:val="center"/>
              <w:rPr>
                <w:rFonts w:hint="eastAsia" w:ascii="宋体" w:hAnsi="宋体" w:eastAsia="宋体" w:cs="宋体"/>
                <w:i w:val="0"/>
                <w:iCs w:val="0"/>
                <w:color w:val="000000"/>
                <w:sz w:val="18"/>
                <w:szCs w:val="18"/>
                <w:u w:val="none"/>
              </w:rPr>
            </w:pPr>
          </w:p>
        </w:tc>
        <w:tc>
          <w:tcPr>
            <w:tcW w:w="690" w:type="dxa"/>
            <w:vMerge w:val="continue"/>
            <w:tcBorders>
              <w:top w:val="single" w:color="000000" w:sz="4" w:space="0"/>
              <w:left w:val="single" w:color="000000" w:sz="4" w:space="0"/>
              <w:bottom w:val="nil"/>
              <w:right w:val="single" w:color="000000" w:sz="4" w:space="0"/>
            </w:tcBorders>
            <w:shd w:val="clear" w:color="auto" w:fill="auto"/>
            <w:vAlign w:val="center"/>
          </w:tcPr>
          <w:p w14:paraId="2DDFF457">
            <w:pPr>
              <w:jc w:val="center"/>
              <w:rPr>
                <w:rFonts w:hint="eastAsia" w:ascii="宋体" w:hAnsi="宋体" w:eastAsia="宋体" w:cs="宋体"/>
                <w:i w:val="0"/>
                <w:iCs w:val="0"/>
                <w:color w:val="000000"/>
                <w:sz w:val="18"/>
                <w:szCs w:val="18"/>
                <w:u w:val="none"/>
              </w:rPr>
            </w:pPr>
          </w:p>
        </w:tc>
        <w:tc>
          <w:tcPr>
            <w:tcW w:w="780" w:type="dxa"/>
            <w:vMerge w:val="continue"/>
            <w:tcBorders>
              <w:top w:val="single" w:color="000000" w:sz="4" w:space="0"/>
              <w:left w:val="single" w:color="000000" w:sz="4" w:space="0"/>
              <w:bottom w:val="nil"/>
              <w:right w:val="single" w:color="000000" w:sz="4" w:space="0"/>
            </w:tcBorders>
            <w:shd w:val="clear" w:color="auto" w:fill="auto"/>
            <w:vAlign w:val="center"/>
          </w:tcPr>
          <w:p w14:paraId="3A73E3CF">
            <w:pPr>
              <w:jc w:val="center"/>
              <w:rPr>
                <w:rFonts w:hint="eastAsia" w:ascii="宋体" w:hAnsi="宋体" w:eastAsia="宋体" w:cs="宋体"/>
                <w:i w:val="0"/>
                <w:iCs w:val="0"/>
                <w:color w:val="000000"/>
                <w:sz w:val="18"/>
                <w:szCs w:val="18"/>
                <w:u w:val="none"/>
              </w:rPr>
            </w:pPr>
          </w:p>
        </w:tc>
        <w:tc>
          <w:tcPr>
            <w:tcW w:w="1624" w:type="dxa"/>
            <w:tcBorders>
              <w:top w:val="single" w:color="000000" w:sz="4" w:space="0"/>
              <w:left w:val="single" w:color="000000" w:sz="4" w:space="0"/>
              <w:bottom w:val="nil"/>
              <w:right w:val="single" w:color="000000" w:sz="4" w:space="0"/>
            </w:tcBorders>
            <w:shd w:val="clear" w:color="auto" w:fill="auto"/>
            <w:vAlign w:val="center"/>
          </w:tcPr>
          <w:p w14:paraId="6FC3EE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项目总成本支出</w:t>
            </w:r>
          </w:p>
        </w:tc>
        <w:tc>
          <w:tcPr>
            <w:tcW w:w="537" w:type="dxa"/>
            <w:tcBorders>
              <w:top w:val="single" w:color="000000" w:sz="4" w:space="0"/>
              <w:left w:val="single" w:color="000000" w:sz="4" w:space="0"/>
              <w:bottom w:val="nil"/>
              <w:right w:val="single" w:color="000000" w:sz="4" w:space="0"/>
            </w:tcBorders>
            <w:shd w:val="clear" w:color="auto" w:fill="auto"/>
            <w:vAlign w:val="center"/>
          </w:tcPr>
          <w:p w14:paraId="1A7F85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反向</w:t>
            </w:r>
          </w:p>
        </w:tc>
        <w:tc>
          <w:tcPr>
            <w:tcW w:w="719" w:type="dxa"/>
            <w:tcBorders>
              <w:top w:val="single" w:color="000000" w:sz="4" w:space="0"/>
              <w:left w:val="single" w:color="000000" w:sz="4" w:space="0"/>
              <w:bottom w:val="nil"/>
              <w:right w:val="single" w:color="000000" w:sz="4" w:space="0"/>
            </w:tcBorders>
            <w:shd w:val="clear" w:color="auto" w:fill="auto"/>
            <w:vAlign w:val="center"/>
          </w:tcPr>
          <w:p w14:paraId="3C0C90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小于等于</w:t>
            </w:r>
          </w:p>
        </w:tc>
        <w:tc>
          <w:tcPr>
            <w:tcW w:w="705" w:type="dxa"/>
            <w:tcBorders>
              <w:top w:val="single" w:color="000000" w:sz="4" w:space="0"/>
              <w:left w:val="single" w:color="000000" w:sz="4" w:space="0"/>
              <w:bottom w:val="nil"/>
              <w:right w:val="single" w:color="000000" w:sz="4" w:space="0"/>
            </w:tcBorders>
            <w:shd w:val="clear" w:color="auto" w:fill="auto"/>
            <w:vAlign w:val="center"/>
          </w:tcPr>
          <w:p w14:paraId="73B317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623" w:type="dxa"/>
            <w:tcBorders>
              <w:top w:val="single" w:color="000000" w:sz="4" w:space="0"/>
              <w:left w:val="single" w:color="000000" w:sz="4" w:space="0"/>
              <w:bottom w:val="nil"/>
              <w:right w:val="single" w:color="000000" w:sz="4" w:space="0"/>
            </w:tcBorders>
            <w:shd w:val="clear" w:color="auto" w:fill="auto"/>
            <w:vAlign w:val="center"/>
          </w:tcPr>
          <w:p w14:paraId="799946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665" w:type="dxa"/>
            <w:tcBorders>
              <w:top w:val="single" w:color="000000" w:sz="4" w:space="0"/>
              <w:left w:val="single" w:color="000000" w:sz="4" w:space="0"/>
              <w:bottom w:val="nil"/>
              <w:right w:val="single" w:color="000000" w:sz="4" w:space="0"/>
            </w:tcBorders>
            <w:shd w:val="clear" w:color="auto" w:fill="auto"/>
            <w:vAlign w:val="center"/>
          </w:tcPr>
          <w:p w14:paraId="70AFE0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647" w:type="dxa"/>
            <w:tcBorders>
              <w:top w:val="single" w:color="000000" w:sz="4" w:space="0"/>
              <w:left w:val="single" w:color="000000" w:sz="4" w:space="0"/>
              <w:bottom w:val="nil"/>
              <w:right w:val="single" w:color="000000" w:sz="4" w:space="0"/>
            </w:tcBorders>
            <w:shd w:val="clear" w:color="auto" w:fill="auto"/>
            <w:vAlign w:val="center"/>
          </w:tcPr>
          <w:p w14:paraId="630A3C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735" w:type="dxa"/>
            <w:tcBorders>
              <w:top w:val="single" w:color="000000" w:sz="4" w:space="0"/>
              <w:left w:val="single" w:color="000000" w:sz="4" w:space="0"/>
              <w:bottom w:val="nil"/>
              <w:right w:val="single" w:color="000000" w:sz="4" w:space="0"/>
            </w:tcBorders>
            <w:shd w:val="clear" w:color="auto" w:fill="auto"/>
            <w:vAlign w:val="center"/>
          </w:tcPr>
          <w:p w14:paraId="050EC2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2115" w:type="dxa"/>
            <w:tcBorders>
              <w:top w:val="single" w:color="000000" w:sz="4" w:space="0"/>
              <w:left w:val="single" w:color="000000" w:sz="4" w:space="0"/>
              <w:bottom w:val="nil"/>
              <w:right w:val="single" w:color="000000" w:sz="4" w:space="0"/>
            </w:tcBorders>
            <w:shd w:val="clear" w:color="auto" w:fill="auto"/>
            <w:vAlign w:val="center"/>
          </w:tcPr>
          <w:p w14:paraId="685F30F4">
            <w:pPr>
              <w:jc w:val="center"/>
              <w:rPr>
                <w:rFonts w:hint="eastAsia" w:ascii="宋体" w:hAnsi="宋体" w:eastAsia="宋体" w:cs="宋体"/>
                <w:i w:val="0"/>
                <w:iCs w:val="0"/>
                <w:color w:val="000000"/>
                <w:sz w:val="18"/>
                <w:szCs w:val="18"/>
                <w:u w:val="none"/>
              </w:rPr>
            </w:pPr>
          </w:p>
        </w:tc>
      </w:tr>
      <w:tr w14:paraId="49D6E1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85" w:type="dxa"/>
            <w:vMerge w:val="continue"/>
            <w:tcBorders>
              <w:top w:val="single" w:color="000000" w:sz="4" w:space="0"/>
              <w:left w:val="single" w:color="000000" w:sz="4" w:space="0"/>
              <w:bottom w:val="nil"/>
              <w:right w:val="single" w:color="000000" w:sz="4" w:space="0"/>
            </w:tcBorders>
            <w:shd w:val="clear" w:color="auto" w:fill="auto"/>
            <w:vAlign w:val="center"/>
          </w:tcPr>
          <w:p w14:paraId="2B5C4683">
            <w:pPr>
              <w:jc w:val="center"/>
              <w:rPr>
                <w:rFonts w:hint="eastAsia" w:ascii="宋体" w:hAnsi="宋体" w:eastAsia="宋体" w:cs="宋体"/>
                <w:i w:val="0"/>
                <w:iCs w:val="0"/>
                <w:color w:val="000000"/>
                <w:sz w:val="18"/>
                <w:szCs w:val="18"/>
                <w:u w:val="none"/>
              </w:rPr>
            </w:pPr>
          </w:p>
        </w:tc>
        <w:tc>
          <w:tcPr>
            <w:tcW w:w="690" w:type="dxa"/>
            <w:vMerge w:val="restart"/>
            <w:tcBorders>
              <w:top w:val="single" w:color="000000" w:sz="4" w:space="0"/>
              <w:left w:val="single" w:color="000000" w:sz="4" w:space="0"/>
              <w:bottom w:val="nil"/>
              <w:right w:val="single" w:color="000000" w:sz="4" w:space="0"/>
            </w:tcBorders>
            <w:shd w:val="clear" w:color="auto" w:fill="auto"/>
            <w:vAlign w:val="center"/>
          </w:tcPr>
          <w:p w14:paraId="5B4352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780" w:type="dxa"/>
            <w:vMerge w:val="restart"/>
            <w:tcBorders>
              <w:top w:val="single" w:color="000000" w:sz="4" w:space="0"/>
              <w:left w:val="single" w:color="000000" w:sz="4" w:space="0"/>
              <w:bottom w:val="nil"/>
              <w:right w:val="single" w:color="000000" w:sz="4" w:space="0"/>
            </w:tcBorders>
            <w:shd w:val="clear" w:color="auto" w:fill="auto"/>
            <w:vAlign w:val="center"/>
          </w:tcPr>
          <w:p w14:paraId="507FDD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w:t>
            </w:r>
          </w:p>
        </w:tc>
        <w:tc>
          <w:tcPr>
            <w:tcW w:w="1624" w:type="dxa"/>
            <w:tcBorders>
              <w:top w:val="single" w:color="000000" w:sz="4" w:space="0"/>
              <w:left w:val="single" w:color="000000" w:sz="4" w:space="0"/>
              <w:bottom w:val="nil"/>
              <w:right w:val="single" w:color="000000" w:sz="4" w:space="0"/>
            </w:tcBorders>
            <w:shd w:val="clear" w:color="auto" w:fill="auto"/>
            <w:vAlign w:val="center"/>
          </w:tcPr>
          <w:p w14:paraId="7EEBC9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提升人民检察院业务能力</w:t>
            </w:r>
          </w:p>
        </w:tc>
        <w:tc>
          <w:tcPr>
            <w:tcW w:w="537" w:type="dxa"/>
            <w:tcBorders>
              <w:top w:val="single" w:color="000000" w:sz="4" w:space="0"/>
              <w:left w:val="single" w:color="000000" w:sz="4" w:space="0"/>
              <w:bottom w:val="nil"/>
              <w:right w:val="single" w:color="000000" w:sz="4" w:space="0"/>
            </w:tcBorders>
            <w:shd w:val="clear" w:color="auto" w:fill="auto"/>
            <w:vAlign w:val="center"/>
          </w:tcPr>
          <w:p w14:paraId="220C0D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719" w:type="dxa"/>
            <w:tcBorders>
              <w:top w:val="single" w:color="000000" w:sz="4" w:space="0"/>
              <w:left w:val="single" w:color="000000" w:sz="4" w:space="0"/>
              <w:bottom w:val="nil"/>
              <w:right w:val="single" w:color="000000" w:sz="4" w:space="0"/>
            </w:tcBorders>
            <w:shd w:val="clear" w:color="auto" w:fill="auto"/>
            <w:vAlign w:val="center"/>
          </w:tcPr>
          <w:p w14:paraId="77D44591">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nil"/>
              <w:right w:val="single" w:color="000000" w:sz="4" w:space="0"/>
            </w:tcBorders>
            <w:shd w:val="clear" w:color="auto" w:fill="auto"/>
            <w:vAlign w:val="center"/>
          </w:tcPr>
          <w:p w14:paraId="431A27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w:t>
            </w:r>
          </w:p>
        </w:tc>
        <w:tc>
          <w:tcPr>
            <w:tcW w:w="623" w:type="dxa"/>
            <w:tcBorders>
              <w:top w:val="single" w:color="000000" w:sz="4" w:space="0"/>
              <w:left w:val="single" w:color="000000" w:sz="4" w:space="0"/>
              <w:bottom w:val="nil"/>
              <w:right w:val="single" w:color="000000" w:sz="4" w:space="0"/>
            </w:tcBorders>
            <w:shd w:val="clear" w:color="auto" w:fill="auto"/>
            <w:vAlign w:val="center"/>
          </w:tcPr>
          <w:p w14:paraId="5CCBA0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w:t>
            </w:r>
          </w:p>
        </w:tc>
        <w:tc>
          <w:tcPr>
            <w:tcW w:w="665" w:type="dxa"/>
            <w:tcBorders>
              <w:top w:val="single" w:color="000000" w:sz="4" w:space="0"/>
              <w:left w:val="single" w:color="000000" w:sz="4" w:space="0"/>
              <w:bottom w:val="nil"/>
              <w:right w:val="single" w:color="000000" w:sz="4" w:space="0"/>
            </w:tcBorders>
            <w:shd w:val="clear" w:color="auto" w:fill="auto"/>
            <w:vAlign w:val="center"/>
          </w:tcPr>
          <w:p w14:paraId="1773D9C0">
            <w:pPr>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nil"/>
              <w:right w:val="single" w:color="000000" w:sz="4" w:space="0"/>
            </w:tcBorders>
            <w:shd w:val="clear" w:color="auto" w:fill="auto"/>
            <w:vAlign w:val="center"/>
          </w:tcPr>
          <w:p w14:paraId="2B8681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35" w:type="dxa"/>
            <w:tcBorders>
              <w:top w:val="single" w:color="000000" w:sz="4" w:space="0"/>
              <w:left w:val="single" w:color="000000" w:sz="4" w:space="0"/>
              <w:bottom w:val="nil"/>
              <w:right w:val="single" w:color="000000" w:sz="4" w:space="0"/>
            </w:tcBorders>
            <w:shd w:val="clear" w:color="auto" w:fill="auto"/>
            <w:vAlign w:val="center"/>
          </w:tcPr>
          <w:p w14:paraId="319867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2115" w:type="dxa"/>
            <w:tcBorders>
              <w:top w:val="single" w:color="000000" w:sz="4" w:space="0"/>
              <w:left w:val="single" w:color="000000" w:sz="4" w:space="0"/>
              <w:bottom w:val="nil"/>
              <w:right w:val="single" w:color="000000" w:sz="4" w:space="0"/>
            </w:tcBorders>
            <w:shd w:val="clear" w:color="auto" w:fill="auto"/>
            <w:vAlign w:val="center"/>
          </w:tcPr>
          <w:p w14:paraId="2278D9C3">
            <w:pPr>
              <w:jc w:val="center"/>
              <w:rPr>
                <w:rFonts w:hint="eastAsia" w:ascii="宋体" w:hAnsi="宋体" w:eastAsia="宋体" w:cs="宋体"/>
                <w:i w:val="0"/>
                <w:iCs w:val="0"/>
                <w:color w:val="000000"/>
                <w:sz w:val="18"/>
                <w:szCs w:val="18"/>
                <w:u w:val="none"/>
              </w:rPr>
            </w:pPr>
          </w:p>
        </w:tc>
      </w:tr>
      <w:tr w14:paraId="3E075C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85" w:type="dxa"/>
            <w:vMerge w:val="continue"/>
            <w:tcBorders>
              <w:top w:val="single" w:color="000000" w:sz="4" w:space="0"/>
              <w:left w:val="single" w:color="000000" w:sz="4" w:space="0"/>
              <w:bottom w:val="nil"/>
              <w:right w:val="single" w:color="000000" w:sz="4" w:space="0"/>
            </w:tcBorders>
            <w:shd w:val="clear" w:color="auto" w:fill="auto"/>
            <w:vAlign w:val="center"/>
          </w:tcPr>
          <w:p w14:paraId="15887013">
            <w:pPr>
              <w:jc w:val="center"/>
              <w:rPr>
                <w:rFonts w:hint="eastAsia" w:ascii="宋体" w:hAnsi="宋体" w:eastAsia="宋体" w:cs="宋体"/>
                <w:i w:val="0"/>
                <w:iCs w:val="0"/>
                <w:color w:val="000000"/>
                <w:sz w:val="18"/>
                <w:szCs w:val="18"/>
                <w:u w:val="none"/>
              </w:rPr>
            </w:pPr>
          </w:p>
        </w:tc>
        <w:tc>
          <w:tcPr>
            <w:tcW w:w="690" w:type="dxa"/>
            <w:vMerge w:val="continue"/>
            <w:tcBorders>
              <w:top w:val="single" w:color="000000" w:sz="4" w:space="0"/>
              <w:left w:val="single" w:color="000000" w:sz="4" w:space="0"/>
              <w:bottom w:val="nil"/>
              <w:right w:val="single" w:color="000000" w:sz="4" w:space="0"/>
            </w:tcBorders>
            <w:shd w:val="clear" w:color="auto" w:fill="auto"/>
            <w:vAlign w:val="center"/>
          </w:tcPr>
          <w:p w14:paraId="4641CA54">
            <w:pPr>
              <w:jc w:val="center"/>
              <w:rPr>
                <w:rFonts w:hint="eastAsia" w:ascii="宋体" w:hAnsi="宋体" w:eastAsia="宋体" w:cs="宋体"/>
                <w:i w:val="0"/>
                <w:iCs w:val="0"/>
                <w:color w:val="000000"/>
                <w:sz w:val="18"/>
                <w:szCs w:val="18"/>
                <w:u w:val="none"/>
              </w:rPr>
            </w:pPr>
          </w:p>
        </w:tc>
        <w:tc>
          <w:tcPr>
            <w:tcW w:w="780" w:type="dxa"/>
            <w:vMerge w:val="continue"/>
            <w:tcBorders>
              <w:top w:val="single" w:color="000000" w:sz="4" w:space="0"/>
              <w:left w:val="single" w:color="000000" w:sz="4" w:space="0"/>
              <w:bottom w:val="nil"/>
              <w:right w:val="single" w:color="000000" w:sz="4" w:space="0"/>
            </w:tcBorders>
            <w:shd w:val="clear" w:color="auto" w:fill="auto"/>
            <w:vAlign w:val="center"/>
          </w:tcPr>
          <w:p w14:paraId="0FD2EEB4">
            <w:pPr>
              <w:jc w:val="center"/>
              <w:rPr>
                <w:rFonts w:hint="eastAsia" w:ascii="宋体" w:hAnsi="宋体" w:eastAsia="宋体" w:cs="宋体"/>
                <w:i w:val="0"/>
                <w:iCs w:val="0"/>
                <w:color w:val="000000"/>
                <w:sz w:val="18"/>
                <w:szCs w:val="18"/>
                <w:u w:val="none"/>
              </w:rPr>
            </w:pPr>
          </w:p>
        </w:tc>
        <w:tc>
          <w:tcPr>
            <w:tcW w:w="1624" w:type="dxa"/>
            <w:tcBorders>
              <w:top w:val="single" w:color="000000" w:sz="4" w:space="0"/>
              <w:left w:val="single" w:color="000000" w:sz="4" w:space="0"/>
              <w:bottom w:val="nil"/>
              <w:right w:val="single" w:color="000000" w:sz="4" w:space="0"/>
            </w:tcBorders>
            <w:shd w:val="clear" w:color="auto" w:fill="auto"/>
            <w:vAlign w:val="center"/>
          </w:tcPr>
          <w:p w14:paraId="052D1B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提升检察院科技化水平</w:t>
            </w:r>
          </w:p>
        </w:tc>
        <w:tc>
          <w:tcPr>
            <w:tcW w:w="537" w:type="dxa"/>
            <w:tcBorders>
              <w:top w:val="single" w:color="000000" w:sz="4" w:space="0"/>
              <w:left w:val="single" w:color="000000" w:sz="4" w:space="0"/>
              <w:bottom w:val="nil"/>
              <w:right w:val="single" w:color="000000" w:sz="4" w:space="0"/>
            </w:tcBorders>
            <w:shd w:val="clear" w:color="auto" w:fill="auto"/>
            <w:vAlign w:val="center"/>
          </w:tcPr>
          <w:p w14:paraId="2FDA70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719" w:type="dxa"/>
            <w:tcBorders>
              <w:top w:val="single" w:color="000000" w:sz="4" w:space="0"/>
              <w:left w:val="single" w:color="000000" w:sz="4" w:space="0"/>
              <w:bottom w:val="nil"/>
              <w:right w:val="single" w:color="000000" w:sz="4" w:space="0"/>
            </w:tcBorders>
            <w:shd w:val="clear" w:color="auto" w:fill="auto"/>
            <w:vAlign w:val="center"/>
          </w:tcPr>
          <w:p w14:paraId="76DFF6FA">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nil"/>
              <w:right w:val="single" w:color="000000" w:sz="4" w:space="0"/>
            </w:tcBorders>
            <w:shd w:val="clear" w:color="auto" w:fill="auto"/>
            <w:vAlign w:val="center"/>
          </w:tcPr>
          <w:p w14:paraId="724F96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w:t>
            </w:r>
          </w:p>
        </w:tc>
        <w:tc>
          <w:tcPr>
            <w:tcW w:w="623" w:type="dxa"/>
            <w:tcBorders>
              <w:top w:val="single" w:color="000000" w:sz="4" w:space="0"/>
              <w:left w:val="single" w:color="000000" w:sz="4" w:space="0"/>
              <w:bottom w:val="nil"/>
              <w:right w:val="single" w:color="000000" w:sz="4" w:space="0"/>
            </w:tcBorders>
            <w:shd w:val="clear" w:color="auto" w:fill="auto"/>
            <w:vAlign w:val="center"/>
          </w:tcPr>
          <w:p w14:paraId="72F4FC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w:t>
            </w:r>
          </w:p>
        </w:tc>
        <w:tc>
          <w:tcPr>
            <w:tcW w:w="665" w:type="dxa"/>
            <w:tcBorders>
              <w:top w:val="single" w:color="000000" w:sz="4" w:space="0"/>
              <w:left w:val="single" w:color="000000" w:sz="4" w:space="0"/>
              <w:bottom w:val="nil"/>
              <w:right w:val="single" w:color="000000" w:sz="4" w:space="0"/>
            </w:tcBorders>
            <w:shd w:val="clear" w:color="auto" w:fill="auto"/>
            <w:vAlign w:val="center"/>
          </w:tcPr>
          <w:p w14:paraId="3989A207">
            <w:pPr>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nil"/>
              <w:right w:val="single" w:color="000000" w:sz="4" w:space="0"/>
            </w:tcBorders>
            <w:shd w:val="clear" w:color="auto" w:fill="auto"/>
            <w:vAlign w:val="center"/>
          </w:tcPr>
          <w:p w14:paraId="4896F9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35" w:type="dxa"/>
            <w:tcBorders>
              <w:top w:val="single" w:color="000000" w:sz="4" w:space="0"/>
              <w:left w:val="single" w:color="000000" w:sz="4" w:space="0"/>
              <w:bottom w:val="nil"/>
              <w:right w:val="single" w:color="000000" w:sz="4" w:space="0"/>
            </w:tcBorders>
            <w:shd w:val="clear" w:color="auto" w:fill="auto"/>
            <w:vAlign w:val="center"/>
          </w:tcPr>
          <w:p w14:paraId="642787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2115" w:type="dxa"/>
            <w:tcBorders>
              <w:top w:val="single" w:color="000000" w:sz="4" w:space="0"/>
              <w:left w:val="single" w:color="000000" w:sz="4" w:space="0"/>
              <w:bottom w:val="nil"/>
              <w:right w:val="single" w:color="000000" w:sz="4" w:space="0"/>
            </w:tcBorders>
            <w:shd w:val="clear" w:color="auto" w:fill="auto"/>
            <w:vAlign w:val="center"/>
          </w:tcPr>
          <w:p w14:paraId="72E2B91D">
            <w:pPr>
              <w:jc w:val="center"/>
              <w:rPr>
                <w:rFonts w:hint="eastAsia" w:ascii="宋体" w:hAnsi="宋体" w:eastAsia="宋体" w:cs="宋体"/>
                <w:i w:val="0"/>
                <w:iCs w:val="0"/>
                <w:color w:val="000000"/>
                <w:sz w:val="18"/>
                <w:szCs w:val="18"/>
                <w:u w:val="none"/>
              </w:rPr>
            </w:pPr>
          </w:p>
        </w:tc>
      </w:tr>
      <w:tr w14:paraId="5CEE9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85" w:type="dxa"/>
            <w:vMerge w:val="continue"/>
            <w:tcBorders>
              <w:top w:val="single" w:color="000000" w:sz="4" w:space="0"/>
              <w:left w:val="single" w:color="000000" w:sz="4" w:space="0"/>
              <w:bottom w:val="nil"/>
              <w:right w:val="single" w:color="000000" w:sz="4" w:space="0"/>
            </w:tcBorders>
            <w:shd w:val="clear" w:color="auto" w:fill="auto"/>
            <w:vAlign w:val="center"/>
          </w:tcPr>
          <w:p w14:paraId="72233E6A">
            <w:pPr>
              <w:jc w:val="center"/>
              <w:rPr>
                <w:rFonts w:hint="eastAsia" w:ascii="宋体" w:hAnsi="宋体" w:eastAsia="宋体" w:cs="宋体"/>
                <w:i w:val="0"/>
                <w:iCs w:val="0"/>
                <w:color w:val="000000"/>
                <w:sz w:val="18"/>
                <w:szCs w:val="18"/>
                <w:u w:val="none"/>
              </w:rPr>
            </w:pPr>
          </w:p>
        </w:tc>
        <w:tc>
          <w:tcPr>
            <w:tcW w:w="690" w:type="dxa"/>
            <w:vMerge w:val="continue"/>
            <w:tcBorders>
              <w:top w:val="single" w:color="000000" w:sz="4" w:space="0"/>
              <w:left w:val="single" w:color="000000" w:sz="4" w:space="0"/>
              <w:bottom w:val="nil"/>
              <w:right w:val="single" w:color="000000" w:sz="4" w:space="0"/>
            </w:tcBorders>
            <w:shd w:val="clear" w:color="auto" w:fill="auto"/>
            <w:vAlign w:val="center"/>
          </w:tcPr>
          <w:p w14:paraId="6FAC28F3">
            <w:pPr>
              <w:jc w:val="center"/>
              <w:rPr>
                <w:rFonts w:hint="eastAsia" w:ascii="宋体" w:hAnsi="宋体" w:eastAsia="宋体" w:cs="宋体"/>
                <w:i w:val="0"/>
                <w:iCs w:val="0"/>
                <w:color w:val="000000"/>
                <w:sz w:val="18"/>
                <w:szCs w:val="18"/>
                <w:u w:val="none"/>
              </w:rPr>
            </w:pPr>
          </w:p>
        </w:tc>
        <w:tc>
          <w:tcPr>
            <w:tcW w:w="780" w:type="dxa"/>
            <w:vMerge w:val="restart"/>
            <w:tcBorders>
              <w:top w:val="single" w:color="000000" w:sz="4" w:space="0"/>
              <w:left w:val="single" w:color="000000" w:sz="4" w:space="0"/>
              <w:bottom w:val="nil"/>
              <w:right w:val="single" w:color="000000" w:sz="4" w:space="0"/>
            </w:tcBorders>
            <w:shd w:val="clear" w:color="auto" w:fill="auto"/>
            <w:vAlign w:val="center"/>
          </w:tcPr>
          <w:p w14:paraId="3EE63F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w:t>
            </w:r>
          </w:p>
        </w:tc>
        <w:tc>
          <w:tcPr>
            <w:tcW w:w="1624" w:type="dxa"/>
            <w:tcBorders>
              <w:top w:val="single" w:color="000000" w:sz="4" w:space="0"/>
              <w:left w:val="single" w:color="000000" w:sz="4" w:space="0"/>
              <w:bottom w:val="nil"/>
              <w:right w:val="single" w:color="000000" w:sz="4" w:space="0"/>
            </w:tcBorders>
            <w:shd w:val="clear" w:color="auto" w:fill="auto"/>
            <w:vAlign w:val="center"/>
          </w:tcPr>
          <w:p w14:paraId="0EFA68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推动人民检察院业务装备建设的标准化</w:t>
            </w:r>
          </w:p>
        </w:tc>
        <w:tc>
          <w:tcPr>
            <w:tcW w:w="537" w:type="dxa"/>
            <w:tcBorders>
              <w:top w:val="single" w:color="000000" w:sz="4" w:space="0"/>
              <w:left w:val="single" w:color="000000" w:sz="4" w:space="0"/>
              <w:bottom w:val="nil"/>
              <w:right w:val="single" w:color="000000" w:sz="4" w:space="0"/>
            </w:tcBorders>
            <w:shd w:val="clear" w:color="auto" w:fill="auto"/>
            <w:vAlign w:val="center"/>
          </w:tcPr>
          <w:p w14:paraId="22218B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719" w:type="dxa"/>
            <w:tcBorders>
              <w:top w:val="single" w:color="000000" w:sz="4" w:space="0"/>
              <w:left w:val="single" w:color="000000" w:sz="4" w:space="0"/>
              <w:bottom w:val="nil"/>
              <w:right w:val="single" w:color="000000" w:sz="4" w:space="0"/>
            </w:tcBorders>
            <w:shd w:val="clear" w:color="auto" w:fill="auto"/>
            <w:vAlign w:val="center"/>
          </w:tcPr>
          <w:p w14:paraId="356C7A24">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nil"/>
              <w:right w:val="single" w:color="000000" w:sz="4" w:space="0"/>
            </w:tcBorders>
            <w:shd w:val="clear" w:color="auto" w:fill="auto"/>
            <w:vAlign w:val="center"/>
          </w:tcPr>
          <w:p w14:paraId="235C15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推动</w:t>
            </w:r>
          </w:p>
        </w:tc>
        <w:tc>
          <w:tcPr>
            <w:tcW w:w="623" w:type="dxa"/>
            <w:tcBorders>
              <w:top w:val="single" w:color="000000" w:sz="4" w:space="0"/>
              <w:left w:val="single" w:color="000000" w:sz="4" w:space="0"/>
              <w:bottom w:val="nil"/>
              <w:right w:val="single" w:color="000000" w:sz="4" w:space="0"/>
            </w:tcBorders>
            <w:shd w:val="clear" w:color="auto" w:fill="auto"/>
            <w:vAlign w:val="center"/>
          </w:tcPr>
          <w:p w14:paraId="1AD7B6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推动</w:t>
            </w:r>
          </w:p>
        </w:tc>
        <w:tc>
          <w:tcPr>
            <w:tcW w:w="665" w:type="dxa"/>
            <w:tcBorders>
              <w:top w:val="single" w:color="000000" w:sz="4" w:space="0"/>
              <w:left w:val="single" w:color="000000" w:sz="4" w:space="0"/>
              <w:bottom w:val="nil"/>
              <w:right w:val="single" w:color="000000" w:sz="4" w:space="0"/>
            </w:tcBorders>
            <w:shd w:val="clear" w:color="auto" w:fill="auto"/>
            <w:vAlign w:val="center"/>
          </w:tcPr>
          <w:p w14:paraId="424062C3">
            <w:pPr>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nil"/>
              <w:right w:val="single" w:color="000000" w:sz="4" w:space="0"/>
            </w:tcBorders>
            <w:shd w:val="clear" w:color="auto" w:fill="auto"/>
            <w:vAlign w:val="center"/>
          </w:tcPr>
          <w:p w14:paraId="21DC20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35" w:type="dxa"/>
            <w:tcBorders>
              <w:top w:val="single" w:color="000000" w:sz="4" w:space="0"/>
              <w:left w:val="single" w:color="000000" w:sz="4" w:space="0"/>
              <w:bottom w:val="nil"/>
              <w:right w:val="single" w:color="000000" w:sz="4" w:space="0"/>
            </w:tcBorders>
            <w:shd w:val="clear" w:color="auto" w:fill="auto"/>
            <w:vAlign w:val="center"/>
          </w:tcPr>
          <w:p w14:paraId="76F184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115" w:type="dxa"/>
            <w:tcBorders>
              <w:top w:val="single" w:color="000000" w:sz="4" w:space="0"/>
              <w:left w:val="single" w:color="000000" w:sz="4" w:space="0"/>
              <w:bottom w:val="nil"/>
              <w:right w:val="single" w:color="000000" w:sz="4" w:space="0"/>
            </w:tcBorders>
            <w:shd w:val="clear" w:color="auto" w:fill="auto"/>
            <w:vAlign w:val="center"/>
          </w:tcPr>
          <w:p w14:paraId="469D0684">
            <w:pPr>
              <w:jc w:val="center"/>
              <w:rPr>
                <w:rFonts w:hint="eastAsia" w:ascii="宋体" w:hAnsi="宋体" w:eastAsia="宋体" w:cs="宋体"/>
                <w:i w:val="0"/>
                <w:iCs w:val="0"/>
                <w:color w:val="000000"/>
                <w:sz w:val="18"/>
                <w:szCs w:val="18"/>
                <w:u w:val="none"/>
              </w:rPr>
            </w:pPr>
          </w:p>
        </w:tc>
      </w:tr>
      <w:tr w14:paraId="6D9D9E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85" w:type="dxa"/>
            <w:vMerge w:val="continue"/>
            <w:tcBorders>
              <w:top w:val="single" w:color="000000" w:sz="4" w:space="0"/>
              <w:left w:val="single" w:color="000000" w:sz="4" w:space="0"/>
              <w:bottom w:val="nil"/>
              <w:right w:val="single" w:color="000000" w:sz="4" w:space="0"/>
            </w:tcBorders>
            <w:shd w:val="clear" w:color="auto" w:fill="auto"/>
            <w:vAlign w:val="center"/>
          </w:tcPr>
          <w:p w14:paraId="1E9DC851">
            <w:pPr>
              <w:jc w:val="center"/>
              <w:rPr>
                <w:rFonts w:hint="eastAsia" w:ascii="宋体" w:hAnsi="宋体" w:eastAsia="宋体" w:cs="宋体"/>
                <w:i w:val="0"/>
                <w:iCs w:val="0"/>
                <w:color w:val="000000"/>
                <w:sz w:val="18"/>
                <w:szCs w:val="18"/>
                <w:u w:val="none"/>
              </w:rPr>
            </w:pPr>
          </w:p>
        </w:tc>
        <w:tc>
          <w:tcPr>
            <w:tcW w:w="690" w:type="dxa"/>
            <w:vMerge w:val="continue"/>
            <w:tcBorders>
              <w:top w:val="single" w:color="000000" w:sz="4" w:space="0"/>
              <w:left w:val="single" w:color="000000" w:sz="4" w:space="0"/>
              <w:bottom w:val="nil"/>
              <w:right w:val="single" w:color="000000" w:sz="4" w:space="0"/>
            </w:tcBorders>
            <w:shd w:val="clear" w:color="auto" w:fill="auto"/>
            <w:vAlign w:val="center"/>
          </w:tcPr>
          <w:p w14:paraId="16D8B1E6">
            <w:pPr>
              <w:jc w:val="center"/>
              <w:rPr>
                <w:rFonts w:hint="eastAsia" w:ascii="宋体" w:hAnsi="宋体" w:eastAsia="宋体" w:cs="宋体"/>
                <w:i w:val="0"/>
                <w:iCs w:val="0"/>
                <w:color w:val="000000"/>
                <w:sz w:val="18"/>
                <w:szCs w:val="18"/>
                <w:u w:val="none"/>
              </w:rPr>
            </w:pPr>
          </w:p>
        </w:tc>
        <w:tc>
          <w:tcPr>
            <w:tcW w:w="780" w:type="dxa"/>
            <w:vMerge w:val="continue"/>
            <w:tcBorders>
              <w:top w:val="single" w:color="000000" w:sz="4" w:space="0"/>
              <w:left w:val="single" w:color="000000" w:sz="4" w:space="0"/>
              <w:bottom w:val="nil"/>
              <w:right w:val="single" w:color="000000" w:sz="4" w:space="0"/>
            </w:tcBorders>
            <w:shd w:val="clear" w:color="auto" w:fill="auto"/>
            <w:vAlign w:val="center"/>
          </w:tcPr>
          <w:p w14:paraId="031714F9">
            <w:pPr>
              <w:jc w:val="center"/>
              <w:rPr>
                <w:rFonts w:hint="eastAsia" w:ascii="宋体" w:hAnsi="宋体" w:eastAsia="宋体" w:cs="宋体"/>
                <w:i w:val="0"/>
                <w:iCs w:val="0"/>
                <w:color w:val="000000"/>
                <w:sz w:val="18"/>
                <w:szCs w:val="18"/>
                <w:u w:val="none"/>
              </w:rPr>
            </w:pPr>
          </w:p>
        </w:tc>
        <w:tc>
          <w:tcPr>
            <w:tcW w:w="1624" w:type="dxa"/>
            <w:tcBorders>
              <w:top w:val="single" w:color="000000" w:sz="4" w:space="0"/>
              <w:left w:val="single" w:color="000000" w:sz="4" w:space="0"/>
              <w:bottom w:val="nil"/>
              <w:right w:val="single" w:color="000000" w:sz="4" w:space="0"/>
            </w:tcBorders>
            <w:shd w:val="clear" w:color="auto" w:fill="auto"/>
            <w:vAlign w:val="center"/>
          </w:tcPr>
          <w:p w14:paraId="6DC6B1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可持续影响期限</w:t>
            </w:r>
          </w:p>
        </w:tc>
        <w:tc>
          <w:tcPr>
            <w:tcW w:w="537" w:type="dxa"/>
            <w:tcBorders>
              <w:top w:val="single" w:color="000000" w:sz="4" w:space="0"/>
              <w:left w:val="single" w:color="000000" w:sz="4" w:space="0"/>
              <w:bottom w:val="nil"/>
              <w:right w:val="single" w:color="000000" w:sz="4" w:space="0"/>
            </w:tcBorders>
            <w:shd w:val="clear" w:color="auto" w:fill="auto"/>
            <w:vAlign w:val="center"/>
          </w:tcPr>
          <w:p w14:paraId="185396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719" w:type="dxa"/>
            <w:tcBorders>
              <w:top w:val="single" w:color="000000" w:sz="4" w:space="0"/>
              <w:left w:val="single" w:color="000000" w:sz="4" w:space="0"/>
              <w:bottom w:val="nil"/>
              <w:right w:val="single" w:color="000000" w:sz="4" w:space="0"/>
            </w:tcBorders>
            <w:shd w:val="clear" w:color="auto" w:fill="auto"/>
            <w:vAlign w:val="center"/>
          </w:tcPr>
          <w:p w14:paraId="3B8399FD">
            <w:pPr>
              <w:jc w:val="center"/>
              <w:rPr>
                <w:rFonts w:hint="eastAsia" w:ascii="宋体" w:hAnsi="宋体" w:eastAsia="宋体" w:cs="宋体"/>
                <w:i w:val="0"/>
                <w:iCs w:val="0"/>
                <w:color w:val="000000"/>
                <w:sz w:val="18"/>
                <w:szCs w:val="18"/>
                <w:u w:val="none"/>
              </w:rPr>
            </w:pPr>
          </w:p>
        </w:tc>
        <w:tc>
          <w:tcPr>
            <w:tcW w:w="705" w:type="dxa"/>
            <w:tcBorders>
              <w:top w:val="single" w:color="000000" w:sz="4" w:space="0"/>
              <w:left w:val="single" w:color="000000" w:sz="4" w:space="0"/>
              <w:bottom w:val="nil"/>
              <w:right w:val="single" w:color="000000" w:sz="4" w:space="0"/>
            </w:tcBorders>
            <w:shd w:val="clear" w:color="auto" w:fill="auto"/>
            <w:vAlign w:val="center"/>
          </w:tcPr>
          <w:p w14:paraId="501779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w:t>
            </w:r>
          </w:p>
        </w:tc>
        <w:tc>
          <w:tcPr>
            <w:tcW w:w="623" w:type="dxa"/>
            <w:tcBorders>
              <w:top w:val="single" w:color="000000" w:sz="4" w:space="0"/>
              <w:left w:val="single" w:color="000000" w:sz="4" w:space="0"/>
              <w:bottom w:val="nil"/>
              <w:right w:val="single" w:color="000000" w:sz="4" w:space="0"/>
            </w:tcBorders>
            <w:shd w:val="clear" w:color="auto" w:fill="auto"/>
            <w:vAlign w:val="center"/>
          </w:tcPr>
          <w:p w14:paraId="119F98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长期</w:t>
            </w:r>
          </w:p>
        </w:tc>
        <w:tc>
          <w:tcPr>
            <w:tcW w:w="665" w:type="dxa"/>
            <w:tcBorders>
              <w:top w:val="single" w:color="000000" w:sz="4" w:space="0"/>
              <w:left w:val="single" w:color="000000" w:sz="4" w:space="0"/>
              <w:bottom w:val="nil"/>
              <w:right w:val="single" w:color="000000" w:sz="4" w:space="0"/>
            </w:tcBorders>
            <w:shd w:val="clear" w:color="auto" w:fill="auto"/>
            <w:vAlign w:val="center"/>
          </w:tcPr>
          <w:p w14:paraId="227479F3">
            <w:pPr>
              <w:jc w:val="center"/>
              <w:rPr>
                <w:rFonts w:hint="eastAsia" w:ascii="宋体" w:hAnsi="宋体" w:eastAsia="宋体" w:cs="宋体"/>
                <w:i w:val="0"/>
                <w:iCs w:val="0"/>
                <w:color w:val="000000"/>
                <w:sz w:val="18"/>
                <w:szCs w:val="18"/>
                <w:u w:val="none"/>
              </w:rPr>
            </w:pPr>
          </w:p>
        </w:tc>
        <w:tc>
          <w:tcPr>
            <w:tcW w:w="647" w:type="dxa"/>
            <w:tcBorders>
              <w:top w:val="single" w:color="000000" w:sz="4" w:space="0"/>
              <w:left w:val="single" w:color="000000" w:sz="4" w:space="0"/>
              <w:bottom w:val="nil"/>
              <w:right w:val="single" w:color="000000" w:sz="4" w:space="0"/>
            </w:tcBorders>
            <w:shd w:val="clear" w:color="auto" w:fill="auto"/>
            <w:vAlign w:val="center"/>
          </w:tcPr>
          <w:p w14:paraId="4FB7DD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735" w:type="dxa"/>
            <w:tcBorders>
              <w:top w:val="single" w:color="000000" w:sz="4" w:space="0"/>
              <w:left w:val="single" w:color="000000" w:sz="4" w:space="0"/>
              <w:bottom w:val="nil"/>
              <w:right w:val="single" w:color="000000" w:sz="4" w:space="0"/>
            </w:tcBorders>
            <w:shd w:val="clear" w:color="auto" w:fill="auto"/>
            <w:vAlign w:val="center"/>
          </w:tcPr>
          <w:p w14:paraId="4266BE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115" w:type="dxa"/>
            <w:tcBorders>
              <w:top w:val="single" w:color="000000" w:sz="4" w:space="0"/>
              <w:left w:val="single" w:color="000000" w:sz="4" w:space="0"/>
              <w:bottom w:val="nil"/>
              <w:right w:val="single" w:color="000000" w:sz="4" w:space="0"/>
            </w:tcBorders>
            <w:shd w:val="clear" w:color="auto" w:fill="auto"/>
            <w:vAlign w:val="center"/>
          </w:tcPr>
          <w:p w14:paraId="758AD55C">
            <w:pPr>
              <w:jc w:val="center"/>
              <w:rPr>
                <w:rFonts w:hint="eastAsia" w:ascii="宋体" w:hAnsi="宋体" w:eastAsia="宋体" w:cs="宋体"/>
                <w:i w:val="0"/>
                <w:iCs w:val="0"/>
                <w:color w:val="000000"/>
                <w:sz w:val="18"/>
                <w:szCs w:val="18"/>
                <w:u w:val="none"/>
              </w:rPr>
            </w:pPr>
          </w:p>
        </w:tc>
      </w:tr>
      <w:tr w14:paraId="06848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585" w:type="dxa"/>
            <w:vMerge w:val="continue"/>
            <w:tcBorders>
              <w:top w:val="single" w:color="000000" w:sz="4" w:space="0"/>
              <w:left w:val="single" w:color="000000" w:sz="4" w:space="0"/>
              <w:bottom w:val="nil"/>
              <w:right w:val="single" w:color="000000" w:sz="4" w:space="0"/>
            </w:tcBorders>
            <w:shd w:val="clear" w:color="auto" w:fill="auto"/>
            <w:vAlign w:val="center"/>
          </w:tcPr>
          <w:p w14:paraId="4BB24FE1">
            <w:pPr>
              <w:jc w:val="center"/>
              <w:rPr>
                <w:rFonts w:hint="eastAsia" w:ascii="宋体" w:hAnsi="宋体" w:eastAsia="宋体" w:cs="宋体"/>
                <w:i w:val="0"/>
                <w:iCs w:val="0"/>
                <w:color w:val="000000"/>
                <w:sz w:val="18"/>
                <w:szCs w:val="18"/>
                <w:u w:val="none"/>
              </w:rPr>
            </w:pPr>
          </w:p>
        </w:tc>
        <w:tc>
          <w:tcPr>
            <w:tcW w:w="690" w:type="dxa"/>
            <w:tcBorders>
              <w:top w:val="single" w:color="000000" w:sz="4" w:space="0"/>
              <w:left w:val="single" w:color="000000" w:sz="4" w:space="0"/>
              <w:bottom w:val="nil"/>
              <w:right w:val="single" w:color="000000" w:sz="4" w:space="0"/>
            </w:tcBorders>
            <w:shd w:val="clear" w:color="auto" w:fill="auto"/>
            <w:vAlign w:val="center"/>
          </w:tcPr>
          <w:p w14:paraId="550619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780" w:type="dxa"/>
            <w:tcBorders>
              <w:top w:val="single" w:color="000000" w:sz="4" w:space="0"/>
              <w:left w:val="single" w:color="000000" w:sz="4" w:space="0"/>
              <w:bottom w:val="nil"/>
              <w:right w:val="single" w:color="000000" w:sz="4" w:space="0"/>
            </w:tcBorders>
            <w:shd w:val="clear" w:color="auto" w:fill="auto"/>
            <w:vAlign w:val="center"/>
          </w:tcPr>
          <w:p w14:paraId="53AE19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w:t>
            </w:r>
          </w:p>
        </w:tc>
        <w:tc>
          <w:tcPr>
            <w:tcW w:w="1624" w:type="dxa"/>
            <w:tcBorders>
              <w:top w:val="single" w:color="000000" w:sz="4" w:space="0"/>
              <w:left w:val="single" w:color="000000" w:sz="4" w:space="0"/>
              <w:bottom w:val="nil"/>
              <w:right w:val="single" w:color="000000" w:sz="4" w:space="0"/>
            </w:tcBorders>
            <w:shd w:val="clear" w:color="auto" w:fill="auto"/>
            <w:vAlign w:val="center"/>
          </w:tcPr>
          <w:p w14:paraId="0273FF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使用人员满意度</w:t>
            </w:r>
          </w:p>
        </w:tc>
        <w:tc>
          <w:tcPr>
            <w:tcW w:w="537" w:type="dxa"/>
            <w:tcBorders>
              <w:top w:val="single" w:color="000000" w:sz="4" w:space="0"/>
              <w:left w:val="single" w:color="000000" w:sz="4" w:space="0"/>
              <w:bottom w:val="nil"/>
              <w:right w:val="single" w:color="000000" w:sz="4" w:space="0"/>
            </w:tcBorders>
            <w:shd w:val="clear" w:color="auto" w:fill="auto"/>
            <w:vAlign w:val="center"/>
          </w:tcPr>
          <w:p w14:paraId="446977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正向</w:t>
            </w:r>
          </w:p>
        </w:tc>
        <w:tc>
          <w:tcPr>
            <w:tcW w:w="719" w:type="dxa"/>
            <w:tcBorders>
              <w:top w:val="single" w:color="000000" w:sz="4" w:space="0"/>
              <w:left w:val="single" w:color="000000" w:sz="4" w:space="0"/>
              <w:bottom w:val="nil"/>
              <w:right w:val="single" w:color="000000" w:sz="4" w:space="0"/>
            </w:tcBorders>
            <w:shd w:val="clear" w:color="auto" w:fill="auto"/>
            <w:vAlign w:val="center"/>
          </w:tcPr>
          <w:p w14:paraId="630323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大于等于</w:t>
            </w:r>
          </w:p>
        </w:tc>
        <w:tc>
          <w:tcPr>
            <w:tcW w:w="705" w:type="dxa"/>
            <w:tcBorders>
              <w:top w:val="single" w:color="000000" w:sz="4" w:space="0"/>
              <w:left w:val="single" w:color="000000" w:sz="4" w:space="0"/>
              <w:bottom w:val="nil"/>
              <w:right w:val="single" w:color="000000" w:sz="4" w:space="0"/>
            </w:tcBorders>
            <w:shd w:val="clear" w:color="auto" w:fill="auto"/>
            <w:vAlign w:val="center"/>
          </w:tcPr>
          <w:p w14:paraId="25D33B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623" w:type="dxa"/>
            <w:tcBorders>
              <w:top w:val="single" w:color="000000" w:sz="4" w:space="0"/>
              <w:left w:val="single" w:color="000000" w:sz="4" w:space="0"/>
              <w:bottom w:val="nil"/>
              <w:right w:val="single" w:color="000000" w:sz="4" w:space="0"/>
            </w:tcBorders>
            <w:shd w:val="clear" w:color="auto" w:fill="auto"/>
            <w:vAlign w:val="center"/>
          </w:tcPr>
          <w:p w14:paraId="37E0D4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97.96</w:t>
            </w:r>
          </w:p>
        </w:tc>
        <w:tc>
          <w:tcPr>
            <w:tcW w:w="665" w:type="dxa"/>
            <w:tcBorders>
              <w:top w:val="single" w:color="000000" w:sz="4" w:space="0"/>
              <w:left w:val="single" w:color="000000" w:sz="4" w:space="0"/>
              <w:bottom w:val="nil"/>
              <w:right w:val="single" w:color="000000" w:sz="4" w:space="0"/>
            </w:tcBorders>
            <w:shd w:val="clear" w:color="auto" w:fill="auto"/>
            <w:vAlign w:val="center"/>
          </w:tcPr>
          <w:p w14:paraId="45791E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47" w:type="dxa"/>
            <w:tcBorders>
              <w:top w:val="single" w:color="000000" w:sz="4" w:space="0"/>
              <w:left w:val="single" w:color="000000" w:sz="4" w:space="0"/>
              <w:bottom w:val="nil"/>
              <w:right w:val="single" w:color="000000" w:sz="4" w:space="0"/>
            </w:tcBorders>
            <w:shd w:val="clear" w:color="auto" w:fill="auto"/>
            <w:vAlign w:val="center"/>
          </w:tcPr>
          <w:p w14:paraId="0C5C81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735" w:type="dxa"/>
            <w:tcBorders>
              <w:top w:val="single" w:color="000000" w:sz="4" w:space="0"/>
              <w:left w:val="single" w:color="000000" w:sz="4" w:space="0"/>
              <w:bottom w:val="nil"/>
              <w:right w:val="single" w:color="000000" w:sz="4" w:space="0"/>
            </w:tcBorders>
            <w:shd w:val="clear" w:color="auto" w:fill="auto"/>
            <w:vAlign w:val="center"/>
          </w:tcPr>
          <w:p w14:paraId="6461D9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115" w:type="dxa"/>
            <w:tcBorders>
              <w:top w:val="single" w:color="000000" w:sz="4" w:space="0"/>
              <w:left w:val="single" w:color="000000" w:sz="4" w:space="0"/>
              <w:bottom w:val="nil"/>
              <w:right w:val="single" w:color="000000" w:sz="4" w:space="0"/>
            </w:tcBorders>
            <w:shd w:val="clear" w:color="auto" w:fill="auto"/>
            <w:vAlign w:val="center"/>
          </w:tcPr>
          <w:p w14:paraId="33C9E4DD">
            <w:pPr>
              <w:jc w:val="center"/>
              <w:rPr>
                <w:rFonts w:hint="eastAsia" w:ascii="宋体" w:hAnsi="宋体" w:eastAsia="宋体" w:cs="宋体"/>
                <w:i w:val="0"/>
                <w:iCs w:val="0"/>
                <w:color w:val="000000"/>
                <w:sz w:val="18"/>
                <w:szCs w:val="18"/>
                <w:u w:val="none"/>
              </w:rPr>
            </w:pPr>
          </w:p>
        </w:tc>
      </w:tr>
      <w:tr w14:paraId="34C69C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6928"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359F4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总分</w:t>
            </w: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2E2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09C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99.18</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44AE3">
            <w:pPr>
              <w:jc w:val="center"/>
              <w:rPr>
                <w:rFonts w:hint="eastAsia" w:ascii="宋体" w:hAnsi="宋体" w:eastAsia="宋体" w:cs="宋体"/>
                <w:i w:val="0"/>
                <w:iCs w:val="0"/>
                <w:color w:val="000000"/>
                <w:sz w:val="18"/>
                <w:szCs w:val="18"/>
                <w:u w:val="none"/>
              </w:rPr>
            </w:pPr>
          </w:p>
        </w:tc>
      </w:tr>
    </w:tbl>
    <w:p w14:paraId="289BBDF0">
      <w:pPr>
        <w:keepNext w:val="0"/>
        <w:keepLines w:val="0"/>
        <w:pageBreakBefore w:val="0"/>
        <w:widowControl/>
        <w:kinsoku/>
        <w:wordWrap/>
        <w:overflowPunct/>
        <w:topLinePunct w:val="0"/>
        <w:autoSpaceDE/>
        <w:autoSpaceDN/>
        <w:bidi w:val="0"/>
        <w:spacing w:beforeAutospacing="0" w:afterAutospacing="0" w:line="560" w:lineRule="exact"/>
        <w:jc w:val="left"/>
        <w:textAlignment w:val="auto"/>
        <w:rPr>
          <w:rFonts w:ascii="kai_ti_gb2312" w:hAnsi="kai_ti_gb2312" w:eastAsia="kai_ti_gb2312" w:cs="kai_ti_gb2312"/>
          <w:b/>
          <w:bCs/>
          <w:kern w:val="0"/>
          <w:sz w:val="27"/>
          <w:szCs w:val="27"/>
        </w:rPr>
      </w:pPr>
    </w:p>
    <w:p w14:paraId="7C9C9318">
      <w:pPr>
        <w:keepNext w:val="0"/>
        <w:keepLines w:val="0"/>
        <w:pageBreakBefore w:val="0"/>
        <w:widowControl/>
        <w:kinsoku/>
        <w:wordWrap/>
        <w:overflowPunct/>
        <w:topLinePunct w:val="0"/>
        <w:autoSpaceDE/>
        <w:autoSpaceDN/>
        <w:bidi w:val="0"/>
        <w:spacing w:beforeAutospacing="0" w:afterAutospacing="0" w:line="560" w:lineRule="exact"/>
        <w:jc w:val="left"/>
        <w:textAlignment w:val="auto"/>
        <w:rPr>
          <w:rFonts w:hint="eastAsia" w:ascii="楷体_GB2312" w:hAnsi="宋体" w:eastAsia="楷体_GB2312" w:cs="楷体_GB2312"/>
          <w:kern w:val="0"/>
          <w:sz w:val="32"/>
          <w:szCs w:val="32"/>
          <w:lang w:bidi="ar"/>
        </w:rPr>
      </w:pPr>
      <w:r>
        <w:rPr>
          <w:rFonts w:ascii="kai_ti_gb2312" w:hAnsi="kai_ti_gb2312" w:eastAsia="kai_ti_gb2312" w:cs="kai_ti_gb2312"/>
          <w:b/>
          <w:bCs/>
          <w:kern w:val="0"/>
          <w:sz w:val="27"/>
          <w:szCs w:val="27"/>
        </w:rPr>
        <w:t xml:space="preserve">    </w:t>
      </w:r>
      <w:r>
        <w:rPr>
          <w:rFonts w:hint="eastAsia" w:ascii="楷体_GB2312" w:hAnsi="宋体" w:eastAsia="楷体_GB2312" w:cs="楷体_GB2312"/>
          <w:kern w:val="0"/>
          <w:sz w:val="32"/>
          <w:szCs w:val="32"/>
          <w:lang w:bidi="ar"/>
        </w:rPr>
        <w:t>（三）部门项目绩效评价结果。</w:t>
      </w:r>
    </w:p>
    <w:p w14:paraId="0B90E8A0">
      <w:pPr>
        <w:keepNext w:val="0"/>
        <w:keepLines w:val="0"/>
        <w:pageBreakBefore w:val="0"/>
        <w:widowControl/>
        <w:kinsoku/>
        <w:wordWrap/>
        <w:overflowPunct/>
        <w:topLinePunct w:val="0"/>
        <w:autoSpaceDE/>
        <w:autoSpaceDN/>
        <w:bidi w:val="0"/>
        <w:spacing w:beforeAutospacing="0" w:afterAutospacing="0" w:line="560" w:lineRule="exact"/>
        <w:ind w:firstLine="640" w:firstLineChars="200"/>
        <w:jc w:val="left"/>
        <w:textAlignment w:val="auto"/>
        <w:rPr>
          <w:rFonts w:hint="default" w:ascii="Times New Roman" w:hAnsi="Times New Roman" w:eastAsia="宋体" w:cs="Times New Roman"/>
          <w:kern w:val="0"/>
          <w:sz w:val="24"/>
          <w:szCs w:val="24"/>
        </w:rPr>
      </w:pPr>
      <w:r>
        <w:rPr>
          <w:rFonts w:hint="default" w:ascii="Times New Roman" w:hAnsi="Times New Roman" w:eastAsia="仿宋_GB2312" w:cs="Times New Roman"/>
          <w:b w:val="0"/>
          <w:bCs w:val="0"/>
          <w:color w:val="000000" w:themeColor="text1"/>
          <w:sz w:val="32"/>
          <w:szCs w:val="32"/>
          <w:lang w:val="en-US" w:eastAsia="zh-CN"/>
        </w:rPr>
        <w:t>“办案（业务）经费”项目绩效评价综合得分为</w:t>
      </w:r>
      <w:r>
        <w:rPr>
          <w:rFonts w:hint="default" w:ascii="Times New Roman" w:hAnsi="Times New Roman" w:eastAsia="仿宋_GB2312" w:cs="Times New Roman"/>
          <w:b w:val="0"/>
          <w:bCs w:val="0"/>
          <w:kern w:val="0"/>
          <w:sz w:val="32"/>
          <w:szCs w:val="32"/>
          <w:lang w:val="en-US" w:eastAsia="zh-CN"/>
        </w:rPr>
        <w:t>98.65</w:t>
      </w:r>
      <w:r>
        <w:rPr>
          <w:rFonts w:hint="default" w:ascii="Times New Roman" w:hAnsi="Times New Roman" w:eastAsia="仿宋_GB2312" w:cs="Times New Roman"/>
          <w:b w:val="0"/>
          <w:bCs w:val="0"/>
          <w:kern w:val="0"/>
          <w:sz w:val="32"/>
          <w:szCs w:val="32"/>
        </w:rPr>
        <w:t>分，绩效评价结果为</w:t>
      </w:r>
      <w:r>
        <w:rPr>
          <w:rFonts w:hint="default" w:ascii="Times New Roman" w:hAnsi="Times New Roman" w:eastAsia="仿宋_GB2312" w:cs="Times New Roman"/>
          <w:b w:val="0"/>
          <w:bCs w:val="0"/>
          <w:kern w:val="0"/>
          <w:sz w:val="32"/>
          <w:szCs w:val="32"/>
          <w:lang w:eastAsia="zh-CN"/>
        </w:rPr>
        <w:t>“</w:t>
      </w:r>
      <w:r>
        <w:rPr>
          <w:rFonts w:hint="default" w:ascii="Times New Roman" w:hAnsi="Times New Roman" w:eastAsia="仿宋_GB2312" w:cs="Times New Roman"/>
          <w:b w:val="0"/>
          <w:bCs w:val="0"/>
          <w:kern w:val="0"/>
          <w:sz w:val="32"/>
          <w:szCs w:val="32"/>
        </w:rPr>
        <w:t>优</w:t>
      </w:r>
      <w:r>
        <w:rPr>
          <w:rFonts w:hint="default" w:ascii="Times New Roman" w:hAnsi="Times New Roman" w:eastAsia="仿宋_GB2312" w:cs="Times New Roman"/>
          <w:b w:val="0"/>
          <w:bCs w:val="0"/>
          <w:kern w:val="0"/>
          <w:sz w:val="32"/>
          <w:szCs w:val="32"/>
          <w:lang w:eastAsia="zh-CN"/>
        </w:rPr>
        <w:t>”</w:t>
      </w:r>
      <w:r>
        <w:rPr>
          <w:rFonts w:hint="default" w:ascii="Times New Roman" w:hAnsi="Times New Roman" w:eastAsia="仿宋_GB2312" w:cs="Times New Roman"/>
          <w:b w:val="0"/>
          <w:bCs w:val="0"/>
          <w:kern w:val="0"/>
          <w:sz w:val="32"/>
          <w:szCs w:val="32"/>
        </w:rPr>
        <w:t>。重点项目绩效评价得分情况详见部门具体绩效评价结果。</w:t>
      </w:r>
      <w:r>
        <w:rPr>
          <w:rFonts w:hint="default" w:ascii="Times New Roman" w:hAnsi="Times New Roman" w:eastAsia="宋体" w:cs="Times New Roman"/>
          <w:kern w:val="0"/>
          <w:sz w:val="32"/>
          <w:szCs w:val="32"/>
        </w:rPr>
        <w:t xml:space="preserve"> </w:t>
      </w:r>
    </w:p>
    <w:p w14:paraId="19231C00">
      <w:pPr>
        <w:pStyle w:val="5"/>
        <w:keepNext w:val="0"/>
        <w:keepLines w:val="0"/>
        <w:pageBreakBefore w:val="0"/>
        <w:widowControl/>
        <w:kinsoku/>
        <w:wordWrap/>
        <w:overflowPunct/>
        <w:topLinePunct w:val="0"/>
        <w:autoSpaceDE/>
        <w:autoSpaceDN/>
        <w:bidi w:val="0"/>
        <w:spacing w:before="0" w:beforeAutospacing="0" w:after="0" w:afterAutospacing="0" w:line="560" w:lineRule="exact"/>
        <w:jc w:val="center"/>
        <w:textAlignment w:val="auto"/>
        <w:rPr>
          <w:rFonts w:hint="eastAsia" w:ascii="楷体_GB2312" w:hAnsi="宋体" w:eastAsia="楷体_GB2312" w:cs="Times New Roman"/>
          <w:b/>
          <w:bCs w:val="0"/>
          <w:color w:val="000000"/>
          <w:kern w:val="2"/>
          <w:sz w:val="32"/>
          <w:szCs w:val="32"/>
          <w:lang w:val="en-US" w:eastAsia="zh-CN" w:bidi="ar-SA"/>
        </w:rPr>
      </w:pPr>
    </w:p>
    <w:p w14:paraId="1B65C8FF">
      <w:pPr>
        <w:pStyle w:val="5"/>
        <w:keepNext w:val="0"/>
        <w:keepLines w:val="0"/>
        <w:pageBreakBefore w:val="0"/>
        <w:widowControl/>
        <w:kinsoku/>
        <w:wordWrap/>
        <w:overflowPunct/>
        <w:topLinePunct w:val="0"/>
        <w:autoSpaceDE/>
        <w:autoSpaceDN/>
        <w:bidi w:val="0"/>
        <w:spacing w:before="0" w:beforeAutospacing="0" w:after="0" w:afterAutospacing="0" w:line="560" w:lineRule="exact"/>
        <w:jc w:val="center"/>
        <w:textAlignment w:val="auto"/>
        <w:rPr>
          <w:rFonts w:hint="eastAsia" w:ascii="楷体_GB2312" w:hAnsi="宋体" w:eastAsia="楷体_GB2312" w:cs="Times New Roman"/>
          <w:b/>
          <w:bCs w:val="0"/>
          <w:color w:val="000000"/>
          <w:kern w:val="2"/>
          <w:sz w:val="32"/>
          <w:szCs w:val="32"/>
          <w:lang w:val="en-US" w:eastAsia="zh-CN" w:bidi="ar-SA"/>
        </w:rPr>
      </w:pPr>
    </w:p>
    <w:p w14:paraId="13270BA9">
      <w:pPr>
        <w:pStyle w:val="5"/>
        <w:keepNext w:val="0"/>
        <w:keepLines w:val="0"/>
        <w:pageBreakBefore w:val="0"/>
        <w:widowControl/>
        <w:kinsoku/>
        <w:wordWrap/>
        <w:overflowPunct/>
        <w:topLinePunct w:val="0"/>
        <w:autoSpaceDE/>
        <w:autoSpaceDN/>
        <w:bidi w:val="0"/>
        <w:spacing w:before="0" w:beforeAutospacing="0" w:after="0" w:afterAutospacing="0" w:line="560" w:lineRule="exact"/>
        <w:jc w:val="center"/>
        <w:textAlignment w:val="auto"/>
        <w:rPr>
          <w:rFonts w:hint="eastAsia" w:ascii="楷体_GB2312" w:hAnsi="宋体" w:eastAsia="楷体_GB2312" w:cs="Times New Roman"/>
          <w:b/>
          <w:bCs w:val="0"/>
          <w:color w:val="000000"/>
          <w:kern w:val="2"/>
          <w:sz w:val="32"/>
          <w:szCs w:val="32"/>
          <w:lang w:val="en-US" w:eastAsia="zh-CN" w:bidi="ar-SA"/>
        </w:rPr>
      </w:pPr>
      <w:r>
        <w:rPr>
          <w:rFonts w:hint="eastAsia" w:ascii="楷体_GB2312" w:hAnsi="宋体" w:eastAsia="楷体_GB2312" w:cs="Times New Roman"/>
          <w:b/>
          <w:bCs w:val="0"/>
          <w:color w:val="000000"/>
          <w:kern w:val="2"/>
          <w:sz w:val="32"/>
          <w:szCs w:val="32"/>
          <w:lang w:val="en-US" w:eastAsia="zh-CN" w:bidi="ar-SA"/>
        </w:rPr>
        <w:t>第三部分  名词解释</w:t>
      </w:r>
    </w:p>
    <w:p w14:paraId="65A20FDA">
      <w:pPr>
        <w:keepNext w:val="0"/>
        <w:keepLines w:val="0"/>
        <w:pageBreakBefore w:val="0"/>
        <w:widowControl/>
        <w:kinsoku/>
        <w:wordWrap/>
        <w:overflowPunct/>
        <w:topLinePunct w:val="0"/>
        <w:autoSpaceDE/>
        <w:autoSpaceDN/>
        <w:bidi w:val="0"/>
        <w:spacing w:beforeAutospacing="0" w:afterAutospacing="0" w:line="560" w:lineRule="exact"/>
        <w:jc w:val="left"/>
        <w:textAlignment w:val="auto"/>
        <w:rPr>
          <w:rFonts w:hint="eastAsia" w:ascii="Times New Roman" w:hAnsi="Times New Roman" w:eastAsia="仿宋_GB2312" w:cs="Times New Roman"/>
          <w:b w:val="0"/>
          <w:bCs w:val="0"/>
          <w:color w:val="000000" w:themeColor="text1"/>
          <w:sz w:val="32"/>
          <w:szCs w:val="32"/>
          <w:lang w:val="en-US" w:eastAsia="zh-CN"/>
        </w:rPr>
      </w:pPr>
      <w:r>
        <w:rPr>
          <w:rFonts w:ascii="fang_song_gb2312" w:hAnsi="fang_song_gb2312" w:eastAsia="fang_song_gb2312" w:cs="fang_song_gb2312"/>
          <w:b/>
          <w:bCs/>
          <w:kern w:val="0"/>
          <w:sz w:val="27"/>
          <w:szCs w:val="27"/>
        </w:rPr>
        <w:t xml:space="preserve">    </w:t>
      </w:r>
      <w:r>
        <w:rPr>
          <w:rFonts w:hint="eastAsia" w:ascii="黑体" w:hAnsi="黑体" w:eastAsia="黑体" w:cs="Times New Roman"/>
          <w:sz w:val="32"/>
          <w:szCs w:val="32"/>
          <w:lang w:val="en-US" w:eastAsia="zh-CN"/>
        </w:rPr>
        <w:t>一、财政拨款收入：</w:t>
      </w:r>
      <w:r>
        <w:rPr>
          <w:rFonts w:hint="eastAsia" w:ascii="Times New Roman" w:hAnsi="Times New Roman" w:eastAsia="仿宋_GB2312" w:cs="Times New Roman"/>
          <w:b w:val="0"/>
          <w:bCs w:val="0"/>
          <w:color w:val="000000" w:themeColor="text1"/>
          <w:sz w:val="32"/>
          <w:szCs w:val="32"/>
          <w:lang w:val="en-US" w:eastAsia="zh-CN"/>
        </w:rPr>
        <w:t>从同级财政部门取得的各类财政拨款，包括一般公共预算财政拨款、政府性基金预算财政拨款、国有资本经营预算财政拨款。</w:t>
      </w:r>
    </w:p>
    <w:p w14:paraId="1263C22B">
      <w:pPr>
        <w:keepNext w:val="0"/>
        <w:keepLines w:val="0"/>
        <w:pageBreakBefore w:val="0"/>
        <w:widowControl/>
        <w:kinsoku/>
        <w:wordWrap/>
        <w:overflowPunct/>
        <w:topLinePunct w:val="0"/>
        <w:autoSpaceDE/>
        <w:autoSpaceDN/>
        <w:bidi w:val="0"/>
        <w:spacing w:beforeAutospacing="0" w:afterAutospacing="0" w:line="560" w:lineRule="exact"/>
        <w:jc w:val="left"/>
        <w:textAlignment w:val="auto"/>
        <w:rPr>
          <w:rFonts w:hint="eastAsia" w:ascii="Times New Roman" w:hAnsi="Times New Roman" w:eastAsia="仿宋_GB2312" w:cs="Times New Roman"/>
          <w:b w:val="0"/>
          <w:bCs w:val="0"/>
          <w:color w:val="000000" w:themeColor="text1"/>
          <w:sz w:val="32"/>
          <w:szCs w:val="32"/>
          <w:lang w:val="en-US" w:eastAsia="zh-CN"/>
        </w:rPr>
      </w:pPr>
      <w:r>
        <w:rPr>
          <w:rFonts w:ascii="fang_song_gb2312" w:hAnsi="fang_song_gb2312" w:eastAsia="fang_song_gb2312" w:cs="fang_song_gb2312"/>
          <w:b/>
          <w:bCs/>
          <w:kern w:val="0"/>
          <w:sz w:val="27"/>
          <w:szCs w:val="27"/>
        </w:rPr>
        <w:t xml:space="preserve">    </w:t>
      </w:r>
      <w:r>
        <w:rPr>
          <w:rFonts w:hint="eastAsia" w:ascii="黑体" w:hAnsi="黑体" w:eastAsia="黑体" w:cs="Times New Roman"/>
          <w:sz w:val="32"/>
          <w:szCs w:val="32"/>
          <w:lang w:val="en-US" w:eastAsia="zh-CN"/>
        </w:rPr>
        <w:t>二、上级补助收入：</w:t>
      </w:r>
      <w:r>
        <w:rPr>
          <w:rFonts w:hint="eastAsia" w:ascii="Times New Roman" w:hAnsi="Times New Roman" w:eastAsia="仿宋_GB2312" w:cs="Times New Roman"/>
          <w:b w:val="0"/>
          <w:bCs w:val="0"/>
          <w:color w:val="000000" w:themeColor="text1"/>
          <w:sz w:val="32"/>
          <w:szCs w:val="32"/>
          <w:lang w:val="en-US" w:eastAsia="zh-CN"/>
        </w:rPr>
        <w:t>指事业单位从主管部门和上级单位取得的非财政补助收入。</w:t>
      </w:r>
    </w:p>
    <w:p w14:paraId="1E6FFA5F">
      <w:pPr>
        <w:keepNext w:val="0"/>
        <w:keepLines w:val="0"/>
        <w:pageBreakBefore w:val="0"/>
        <w:widowControl/>
        <w:kinsoku/>
        <w:wordWrap/>
        <w:overflowPunct/>
        <w:topLinePunct w:val="0"/>
        <w:autoSpaceDE/>
        <w:autoSpaceDN/>
        <w:bidi w:val="0"/>
        <w:spacing w:beforeAutospacing="0" w:afterAutospacing="0" w:line="560" w:lineRule="exact"/>
        <w:jc w:val="left"/>
        <w:textAlignment w:val="auto"/>
        <w:rPr>
          <w:rFonts w:hint="eastAsia" w:ascii="Times New Roman" w:hAnsi="Times New Roman" w:eastAsia="仿宋_GB2312" w:cs="Times New Roman"/>
          <w:b w:val="0"/>
          <w:bCs w:val="0"/>
          <w:color w:val="000000" w:themeColor="text1"/>
          <w:sz w:val="32"/>
          <w:szCs w:val="32"/>
          <w:lang w:val="en-US" w:eastAsia="zh-CN"/>
        </w:rPr>
      </w:pPr>
      <w:r>
        <w:rPr>
          <w:rFonts w:ascii="fang_song_gb2312" w:hAnsi="fang_song_gb2312" w:eastAsia="fang_song_gb2312" w:cs="fang_song_gb2312"/>
          <w:b/>
          <w:bCs/>
          <w:kern w:val="0"/>
          <w:sz w:val="27"/>
          <w:szCs w:val="27"/>
        </w:rPr>
        <w:t xml:space="preserve">    </w:t>
      </w:r>
      <w:r>
        <w:rPr>
          <w:rFonts w:hint="eastAsia" w:ascii="黑体" w:hAnsi="黑体" w:eastAsia="黑体" w:cs="Times New Roman"/>
          <w:sz w:val="32"/>
          <w:szCs w:val="32"/>
          <w:lang w:val="en-US" w:eastAsia="zh-CN"/>
        </w:rPr>
        <w:t>三、财政专户管理教育收费：</w:t>
      </w:r>
      <w:r>
        <w:rPr>
          <w:rFonts w:hint="eastAsia" w:ascii="Times New Roman" w:hAnsi="Times New Roman" w:eastAsia="仿宋_GB2312" w:cs="Times New Roman"/>
          <w:b w:val="0"/>
          <w:bCs w:val="0"/>
          <w:color w:val="000000" w:themeColor="text1"/>
          <w:sz w:val="32"/>
          <w:szCs w:val="32"/>
          <w:lang w:val="en-US" w:eastAsia="zh-CN"/>
        </w:rPr>
        <w:t>指缴入财政专户、实行专项管理的高中以上学费、住宿费、高校委托培养费、函大、电大、夜大及短训班培训费等教育收费。</w:t>
      </w:r>
    </w:p>
    <w:p w14:paraId="2A417077">
      <w:pPr>
        <w:keepNext w:val="0"/>
        <w:keepLines w:val="0"/>
        <w:pageBreakBefore w:val="0"/>
        <w:widowControl/>
        <w:kinsoku/>
        <w:wordWrap/>
        <w:overflowPunct/>
        <w:topLinePunct w:val="0"/>
        <w:autoSpaceDE/>
        <w:autoSpaceDN/>
        <w:bidi w:val="0"/>
        <w:spacing w:beforeAutospacing="0" w:afterAutospacing="0" w:line="560" w:lineRule="exact"/>
        <w:jc w:val="left"/>
        <w:textAlignment w:val="auto"/>
        <w:rPr>
          <w:rFonts w:hint="eastAsia" w:ascii="Times New Roman" w:hAnsi="Times New Roman" w:eastAsia="仿宋_GB2312" w:cs="Times New Roman"/>
          <w:b w:val="0"/>
          <w:bCs w:val="0"/>
          <w:color w:val="000000" w:themeColor="text1"/>
          <w:sz w:val="32"/>
          <w:szCs w:val="32"/>
          <w:lang w:val="en-US" w:eastAsia="zh-CN"/>
        </w:rPr>
      </w:pPr>
      <w:r>
        <w:rPr>
          <w:rFonts w:ascii="fang_song_gb2312" w:hAnsi="fang_song_gb2312" w:eastAsia="fang_song_gb2312" w:cs="fang_song_gb2312"/>
          <w:b/>
          <w:bCs/>
          <w:kern w:val="0"/>
          <w:sz w:val="27"/>
          <w:szCs w:val="27"/>
        </w:rPr>
        <w:t xml:space="preserve">    </w:t>
      </w:r>
      <w:r>
        <w:rPr>
          <w:rFonts w:hint="eastAsia" w:ascii="黑体" w:hAnsi="黑体" w:eastAsia="黑体" w:cs="Times New Roman"/>
          <w:sz w:val="32"/>
          <w:szCs w:val="32"/>
          <w:lang w:val="en-US" w:eastAsia="zh-CN"/>
        </w:rPr>
        <w:t>四、事业收入：</w:t>
      </w:r>
      <w:r>
        <w:rPr>
          <w:rFonts w:hint="eastAsia" w:ascii="Times New Roman" w:hAnsi="Times New Roman" w:eastAsia="仿宋_GB2312" w:cs="Times New Roman"/>
          <w:b w:val="0"/>
          <w:bCs w:val="0"/>
          <w:color w:val="000000" w:themeColor="text1"/>
          <w:sz w:val="32"/>
          <w:szCs w:val="32"/>
          <w:lang w:val="en-US" w:eastAsia="zh-CN"/>
        </w:rPr>
        <w:t>指事业单位开展专业业务活动及其辅助活动取得的收入。</w:t>
      </w:r>
    </w:p>
    <w:p w14:paraId="03F3C3E8">
      <w:pPr>
        <w:keepNext w:val="0"/>
        <w:keepLines w:val="0"/>
        <w:pageBreakBefore w:val="0"/>
        <w:widowControl/>
        <w:kinsoku/>
        <w:wordWrap/>
        <w:overflowPunct/>
        <w:topLinePunct w:val="0"/>
        <w:autoSpaceDE/>
        <w:autoSpaceDN/>
        <w:bidi w:val="0"/>
        <w:spacing w:beforeAutospacing="0" w:afterAutospacing="0" w:line="560" w:lineRule="exact"/>
        <w:jc w:val="left"/>
        <w:textAlignment w:val="auto"/>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xml:space="preserve">    </w:t>
      </w:r>
      <w:r>
        <w:rPr>
          <w:rFonts w:hint="eastAsia" w:ascii="黑体" w:hAnsi="黑体" w:eastAsia="黑体" w:cs="Times New Roman"/>
          <w:sz w:val="32"/>
          <w:szCs w:val="32"/>
          <w:lang w:val="en-US" w:eastAsia="zh-CN"/>
        </w:rPr>
        <w:t>五、经营收入：</w:t>
      </w:r>
      <w:r>
        <w:rPr>
          <w:rFonts w:hint="eastAsia" w:ascii="Times New Roman" w:hAnsi="Times New Roman" w:eastAsia="仿宋_GB2312" w:cs="Times New Roman"/>
          <w:b w:val="0"/>
          <w:bCs w:val="0"/>
          <w:color w:val="000000" w:themeColor="text1"/>
          <w:sz w:val="32"/>
          <w:szCs w:val="32"/>
          <w:lang w:val="en-US" w:eastAsia="zh-CN"/>
        </w:rPr>
        <w:t>指事业单位在专业业务活动及其辅助活动之外开展非独立核算经营活动取得的收入。</w:t>
      </w:r>
    </w:p>
    <w:p w14:paraId="16A5DAF6">
      <w:pPr>
        <w:keepNext w:val="0"/>
        <w:keepLines w:val="0"/>
        <w:pageBreakBefore w:val="0"/>
        <w:widowControl/>
        <w:kinsoku/>
        <w:wordWrap/>
        <w:overflowPunct/>
        <w:topLinePunct w:val="0"/>
        <w:autoSpaceDE/>
        <w:autoSpaceDN/>
        <w:bidi w:val="0"/>
        <w:spacing w:beforeAutospacing="0" w:afterAutospacing="0" w:line="560" w:lineRule="exact"/>
        <w:jc w:val="left"/>
        <w:textAlignment w:val="auto"/>
        <w:rPr>
          <w:rFonts w:hint="eastAsia" w:ascii="Times New Roman" w:hAnsi="Times New Roman" w:eastAsia="仿宋_GB2312" w:cs="Times New Roman"/>
          <w:b w:val="0"/>
          <w:bCs w:val="0"/>
          <w:color w:val="000000" w:themeColor="text1"/>
          <w:sz w:val="32"/>
          <w:szCs w:val="32"/>
          <w:lang w:val="en-US" w:eastAsia="zh-CN"/>
        </w:rPr>
      </w:pPr>
      <w:r>
        <w:rPr>
          <w:rFonts w:ascii="fang_song_gb2312" w:hAnsi="fang_song_gb2312" w:eastAsia="fang_song_gb2312" w:cs="fang_song_gb2312"/>
          <w:b/>
          <w:bCs/>
          <w:kern w:val="0"/>
          <w:sz w:val="27"/>
          <w:szCs w:val="27"/>
        </w:rPr>
        <w:t xml:space="preserve">    </w:t>
      </w:r>
      <w:r>
        <w:rPr>
          <w:rFonts w:hint="eastAsia" w:ascii="黑体" w:hAnsi="黑体" w:eastAsia="黑体" w:cs="Times New Roman"/>
          <w:sz w:val="32"/>
          <w:szCs w:val="32"/>
          <w:lang w:val="en-US" w:eastAsia="zh-CN"/>
        </w:rPr>
        <w:t>六、附属单位上缴收入：</w:t>
      </w:r>
      <w:r>
        <w:rPr>
          <w:rFonts w:hint="eastAsia" w:ascii="Times New Roman" w:hAnsi="Times New Roman" w:eastAsia="仿宋_GB2312" w:cs="Times New Roman"/>
          <w:b w:val="0"/>
          <w:bCs w:val="0"/>
          <w:color w:val="000000" w:themeColor="text1"/>
          <w:sz w:val="32"/>
          <w:szCs w:val="32"/>
          <w:lang w:val="en-US" w:eastAsia="zh-CN"/>
        </w:rPr>
        <w:t>指事业单位取得附属独立核算单位按照有关规定上缴的收入。</w:t>
      </w:r>
    </w:p>
    <w:p w14:paraId="285589D2">
      <w:pPr>
        <w:keepNext w:val="0"/>
        <w:keepLines w:val="0"/>
        <w:pageBreakBefore w:val="0"/>
        <w:widowControl/>
        <w:kinsoku/>
        <w:wordWrap/>
        <w:overflowPunct/>
        <w:topLinePunct w:val="0"/>
        <w:autoSpaceDE/>
        <w:autoSpaceDN/>
        <w:bidi w:val="0"/>
        <w:spacing w:beforeAutospacing="0" w:afterAutospacing="0" w:line="560" w:lineRule="exact"/>
        <w:jc w:val="left"/>
        <w:textAlignment w:val="auto"/>
        <w:rPr>
          <w:rFonts w:hint="eastAsia" w:ascii="Times New Roman" w:hAnsi="Times New Roman" w:eastAsia="仿宋_GB2312" w:cs="Times New Roman"/>
          <w:b w:val="0"/>
          <w:bCs w:val="0"/>
          <w:color w:val="000000" w:themeColor="text1"/>
          <w:sz w:val="32"/>
          <w:szCs w:val="32"/>
          <w:lang w:val="en-US" w:eastAsia="zh-CN"/>
        </w:rPr>
      </w:pPr>
      <w:r>
        <w:rPr>
          <w:rFonts w:ascii="fang_song_gb2312" w:hAnsi="fang_song_gb2312" w:eastAsia="fang_song_gb2312" w:cs="fang_song_gb2312"/>
          <w:b/>
          <w:bCs/>
          <w:kern w:val="0"/>
          <w:sz w:val="27"/>
          <w:szCs w:val="27"/>
        </w:rPr>
        <w:t xml:space="preserve">    </w:t>
      </w:r>
      <w:r>
        <w:rPr>
          <w:rFonts w:hint="eastAsia" w:ascii="黑体" w:hAnsi="黑体" w:eastAsia="黑体" w:cs="Times New Roman"/>
          <w:sz w:val="32"/>
          <w:szCs w:val="32"/>
          <w:lang w:val="en-US" w:eastAsia="zh-CN"/>
        </w:rPr>
        <w:t>七、其他收入：</w:t>
      </w:r>
      <w:r>
        <w:rPr>
          <w:rFonts w:hint="eastAsia" w:ascii="Times New Roman" w:hAnsi="Times New Roman" w:eastAsia="仿宋_GB2312" w:cs="Times New Roman"/>
          <w:b w:val="0"/>
          <w:bCs w:val="0"/>
          <w:color w:val="000000" w:themeColor="text1"/>
          <w:sz w:val="32"/>
          <w:szCs w:val="32"/>
          <w:lang w:val="en-US" w:eastAsia="zh-CN"/>
        </w:rPr>
        <w:t>取得的除上述“财政拨款收入”、“上级补助收入”、“事业收入”、“经营收入”、“附属单位上缴收入”等以外的各项收入。</w:t>
      </w:r>
    </w:p>
    <w:p w14:paraId="49B170A3">
      <w:pPr>
        <w:keepNext w:val="0"/>
        <w:keepLines w:val="0"/>
        <w:pageBreakBefore w:val="0"/>
        <w:widowControl/>
        <w:kinsoku/>
        <w:wordWrap/>
        <w:overflowPunct/>
        <w:topLinePunct w:val="0"/>
        <w:autoSpaceDE/>
        <w:autoSpaceDN/>
        <w:bidi w:val="0"/>
        <w:spacing w:beforeAutospacing="0" w:afterAutospacing="0" w:line="560" w:lineRule="exact"/>
        <w:jc w:val="left"/>
        <w:textAlignment w:val="auto"/>
        <w:rPr>
          <w:rFonts w:hint="eastAsia" w:ascii="Times New Roman" w:hAnsi="Times New Roman" w:eastAsia="仿宋_GB2312" w:cs="Times New Roman"/>
          <w:b w:val="0"/>
          <w:bCs w:val="0"/>
          <w:color w:val="000000" w:themeColor="text1"/>
          <w:sz w:val="32"/>
          <w:szCs w:val="32"/>
          <w:lang w:val="en-US" w:eastAsia="zh-CN"/>
        </w:rPr>
      </w:pPr>
      <w:r>
        <w:rPr>
          <w:rFonts w:ascii="fang_song_gb2312" w:hAnsi="fang_song_gb2312" w:eastAsia="fang_song_gb2312" w:cs="fang_song_gb2312"/>
          <w:b/>
          <w:bCs/>
          <w:kern w:val="0"/>
          <w:sz w:val="27"/>
          <w:szCs w:val="27"/>
        </w:rPr>
        <w:t xml:space="preserve">    </w:t>
      </w:r>
      <w:r>
        <w:rPr>
          <w:rFonts w:hint="eastAsia" w:ascii="黑体" w:hAnsi="黑体" w:eastAsia="黑体" w:cs="Times New Roman"/>
          <w:sz w:val="32"/>
          <w:szCs w:val="32"/>
          <w:lang w:val="en-US" w:eastAsia="zh-CN"/>
        </w:rPr>
        <w:t>八、使用非财政拨款结余和专用结余：</w:t>
      </w:r>
      <w:r>
        <w:rPr>
          <w:rFonts w:hint="eastAsia" w:ascii="Times New Roman" w:hAnsi="Times New Roman" w:eastAsia="仿宋_GB2312" w:cs="Times New Roman"/>
          <w:b w:val="0"/>
          <w:bCs w:val="0"/>
          <w:color w:val="000000" w:themeColor="text1"/>
          <w:sz w:val="32"/>
          <w:szCs w:val="32"/>
          <w:lang w:val="en-US" w:eastAsia="zh-CN"/>
        </w:rPr>
        <w:t>指事业单位按照预算管理要求使用非财政拨款结余和专用结余弥补当年收支差额的数额。</w:t>
      </w:r>
    </w:p>
    <w:p w14:paraId="6573E50B">
      <w:pPr>
        <w:keepNext w:val="0"/>
        <w:keepLines w:val="0"/>
        <w:pageBreakBefore w:val="0"/>
        <w:widowControl/>
        <w:kinsoku/>
        <w:wordWrap/>
        <w:overflowPunct/>
        <w:topLinePunct w:val="0"/>
        <w:autoSpaceDE/>
        <w:autoSpaceDN/>
        <w:bidi w:val="0"/>
        <w:spacing w:beforeAutospacing="0" w:afterAutospacing="0" w:line="560" w:lineRule="exact"/>
        <w:jc w:val="left"/>
        <w:textAlignment w:val="auto"/>
        <w:rPr>
          <w:rFonts w:hint="eastAsia" w:ascii="Times New Roman" w:hAnsi="Times New Roman" w:eastAsia="仿宋_GB2312" w:cs="Times New Roman"/>
          <w:b w:val="0"/>
          <w:bCs w:val="0"/>
          <w:color w:val="000000" w:themeColor="text1"/>
          <w:sz w:val="32"/>
          <w:szCs w:val="32"/>
          <w:lang w:val="en-US" w:eastAsia="zh-CN"/>
        </w:rPr>
      </w:pPr>
      <w:r>
        <w:rPr>
          <w:rFonts w:ascii="fang_song_gb2312" w:hAnsi="fang_song_gb2312" w:eastAsia="fang_song_gb2312" w:cs="fang_song_gb2312"/>
          <w:b/>
          <w:bCs/>
          <w:kern w:val="0"/>
          <w:sz w:val="27"/>
          <w:szCs w:val="27"/>
        </w:rPr>
        <w:t xml:space="preserve">    </w:t>
      </w:r>
      <w:r>
        <w:rPr>
          <w:rFonts w:hint="eastAsia" w:ascii="黑体" w:hAnsi="黑体" w:eastAsia="黑体" w:cs="Times New Roman"/>
          <w:sz w:val="32"/>
          <w:szCs w:val="32"/>
          <w:lang w:val="en-US" w:eastAsia="zh-CN"/>
        </w:rPr>
        <w:t>九、年初结转和结余：</w:t>
      </w:r>
      <w:r>
        <w:rPr>
          <w:rFonts w:hint="eastAsia" w:ascii="Times New Roman" w:hAnsi="Times New Roman" w:eastAsia="仿宋_GB2312" w:cs="Times New Roman"/>
          <w:b w:val="0"/>
          <w:bCs w:val="0"/>
          <w:color w:val="000000" w:themeColor="text1"/>
          <w:sz w:val="32"/>
          <w:szCs w:val="32"/>
          <w:lang w:val="en-US" w:eastAsia="zh-CN"/>
        </w:rPr>
        <w:t>指单位上年结转本年使用的基本支出结转、项目支出结转和结余、经营结余。</w:t>
      </w:r>
    </w:p>
    <w:p w14:paraId="53AD553F">
      <w:pPr>
        <w:keepNext w:val="0"/>
        <w:keepLines w:val="0"/>
        <w:pageBreakBefore w:val="0"/>
        <w:widowControl/>
        <w:kinsoku/>
        <w:wordWrap/>
        <w:overflowPunct/>
        <w:topLinePunct w:val="0"/>
        <w:autoSpaceDE/>
        <w:autoSpaceDN/>
        <w:bidi w:val="0"/>
        <w:spacing w:beforeAutospacing="0" w:afterAutospacing="0" w:line="560" w:lineRule="exact"/>
        <w:jc w:val="left"/>
        <w:textAlignment w:val="auto"/>
        <w:rPr>
          <w:rFonts w:hint="eastAsia" w:ascii="Times New Roman" w:hAnsi="Times New Roman" w:eastAsia="仿宋_GB2312" w:cs="Times New Roman"/>
          <w:b w:val="0"/>
          <w:bCs w:val="0"/>
          <w:color w:val="000000" w:themeColor="text1"/>
          <w:sz w:val="32"/>
          <w:szCs w:val="32"/>
          <w:lang w:val="en-US" w:eastAsia="zh-CN"/>
        </w:rPr>
      </w:pPr>
      <w:r>
        <w:rPr>
          <w:rFonts w:ascii="fang_song_gb2312" w:hAnsi="fang_song_gb2312" w:eastAsia="fang_song_gb2312" w:cs="fang_song_gb2312"/>
          <w:b/>
          <w:bCs/>
          <w:kern w:val="0"/>
          <w:sz w:val="27"/>
          <w:szCs w:val="27"/>
        </w:rPr>
        <w:t xml:space="preserve">    </w:t>
      </w:r>
      <w:r>
        <w:rPr>
          <w:rFonts w:hint="eastAsia" w:ascii="黑体" w:hAnsi="黑体" w:eastAsia="黑体" w:cs="Times New Roman"/>
          <w:sz w:val="32"/>
          <w:szCs w:val="32"/>
          <w:lang w:val="en-US" w:eastAsia="zh-CN"/>
        </w:rPr>
        <w:t>十、结余分配：</w:t>
      </w:r>
      <w:r>
        <w:rPr>
          <w:rFonts w:hint="eastAsia" w:ascii="Times New Roman" w:hAnsi="Times New Roman" w:eastAsia="仿宋_GB2312" w:cs="Times New Roman"/>
          <w:b w:val="0"/>
          <w:bCs w:val="0"/>
          <w:color w:val="000000" w:themeColor="text1"/>
          <w:sz w:val="32"/>
          <w:szCs w:val="32"/>
          <w:lang w:val="en-US" w:eastAsia="zh-CN"/>
        </w:rPr>
        <w:t>指事业单位按规定缴纳企业所得税以及从非财政拨款结余或经营结余中提取各类结余的情况。</w:t>
      </w:r>
    </w:p>
    <w:p w14:paraId="0A29329A">
      <w:pPr>
        <w:keepNext w:val="0"/>
        <w:keepLines w:val="0"/>
        <w:pageBreakBefore w:val="0"/>
        <w:widowControl/>
        <w:kinsoku/>
        <w:wordWrap/>
        <w:overflowPunct/>
        <w:topLinePunct w:val="0"/>
        <w:autoSpaceDE/>
        <w:autoSpaceDN/>
        <w:bidi w:val="0"/>
        <w:spacing w:beforeAutospacing="0" w:afterAutospacing="0" w:line="560" w:lineRule="exact"/>
        <w:jc w:val="left"/>
        <w:textAlignment w:val="auto"/>
        <w:rPr>
          <w:rFonts w:hint="eastAsia" w:ascii="Times New Roman" w:hAnsi="Times New Roman" w:eastAsia="仿宋_GB2312" w:cs="Times New Roman"/>
          <w:b w:val="0"/>
          <w:bCs w:val="0"/>
          <w:color w:val="000000" w:themeColor="text1"/>
          <w:sz w:val="32"/>
          <w:szCs w:val="32"/>
          <w:lang w:val="en-US" w:eastAsia="zh-CN"/>
        </w:rPr>
      </w:pPr>
      <w:r>
        <w:rPr>
          <w:rFonts w:ascii="fang_song_gb2312" w:hAnsi="fang_song_gb2312" w:eastAsia="fang_song_gb2312" w:cs="fang_song_gb2312"/>
          <w:b/>
          <w:bCs/>
          <w:kern w:val="0"/>
          <w:sz w:val="27"/>
          <w:szCs w:val="27"/>
        </w:rPr>
        <w:t xml:space="preserve">    </w:t>
      </w:r>
      <w:r>
        <w:rPr>
          <w:rFonts w:hint="eastAsia" w:ascii="黑体" w:hAnsi="黑体" w:eastAsia="黑体" w:cs="Times New Roman"/>
          <w:sz w:val="32"/>
          <w:szCs w:val="32"/>
          <w:lang w:val="en-US" w:eastAsia="zh-CN"/>
        </w:rPr>
        <w:t>十一、年末结转和结余资金：</w:t>
      </w:r>
      <w:r>
        <w:rPr>
          <w:rFonts w:hint="eastAsia" w:ascii="Times New Roman" w:hAnsi="Times New Roman" w:eastAsia="仿宋_GB2312" w:cs="Times New Roman"/>
          <w:b w:val="0"/>
          <w:bCs w:val="0"/>
          <w:color w:val="000000" w:themeColor="text1"/>
          <w:sz w:val="32"/>
          <w:szCs w:val="32"/>
          <w:lang w:val="en-US" w:eastAsia="zh-CN"/>
        </w:rPr>
        <w:t>指单位结转下年的基本支出结转、项目支出结转和结余、经营结余。</w:t>
      </w:r>
    </w:p>
    <w:p w14:paraId="6E48DE5E">
      <w:pPr>
        <w:keepNext w:val="0"/>
        <w:keepLines w:val="0"/>
        <w:pageBreakBefore w:val="0"/>
        <w:widowControl/>
        <w:kinsoku/>
        <w:wordWrap/>
        <w:overflowPunct/>
        <w:topLinePunct w:val="0"/>
        <w:autoSpaceDE/>
        <w:autoSpaceDN/>
        <w:bidi w:val="0"/>
        <w:spacing w:beforeAutospacing="0" w:afterAutospacing="0" w:line="560" w:lineRule="exact"/>
        <w:jc w:val="left"/>
        <w:textAlignment w:val="auto"/>
        <w:rPr>
          <w:rFonts w:hint="eastAsia" w:ascii="Times New Roman" w:hAnsi="Times New Roman" w:eastAsia="仿宋_GB2312" w:cs="Times New Roman"/>
          <w:b w:val="0"/>
          <w:bCs w:val="0"/>
          <w:color w:val="000000" w:themeColor="text1"/>
          <w:sz w:val="32"/>
          <w:szCs w:val="32"/>
          <w:lang w:val="en-US" w:eastAsia="zh-CN"/>
        </w:rPr>
      </w:pPr>
      <w:r>
        <w:rPr>
          <w:rFonts w:ascii="fang_song_gb2312" w:hAnsi="fang_song_gb2312" w:eastAsia="fang_song_gb2312" w:cs="fang_song_gb2312"/>
          <w:b/>
          <w:bCs/>
          <w:kern w:val="0"/>
          <w:sz w:val="27"/>
          <w:szCs w:val="27"/>
        </w:rPr>
        <w:t xml:space="preserve">    </w:t>
      </w:r>
      <w:r>
        <w:rPr>
          <w:rFonts w:hint="eastAsia" w:ascii="黑体" w:hAnsi="黑体" w:eastAsia="黑体" w:cs="Times New Roman"/>
          <w:sz w:val="32"/>
          <w:szCs w:val="32"/>
          <w:lang w:val="en-US" w:eastAsia="zh-CN"/>
        </w:rPr>
        <w:t>十二、基本支出：</w:t>
      </w:r>
      <w:r>
        <w:rPr>
          <w:rFonts w:hint="eastAsia" w:ascii="Times New Roman" w:hAnsi="Times New Roman" w:eastAsia="仿宋_GB2312" w:cs="Times New Roman"/>
          <w:b w:val="0"/>
          <w:bCs w:val="0"/>
          <w:color w:val="000000" w:themeColor="text1"/>
          <w:sz w:val="32"/>
          <w:szCs w:val="32"/>
          <w:lang w:val="en-US" w:eastAsia="zh-CN"/>
        </w:rPr>
        <w:t>指为保障机构正常运转、完成日常工作任务所发生的支出，包括人员经费和公用经费。</w:t>
      </w:r>
    </w:p>
    <w:p w14:paraId="006D04A9">
      <w:pPr>
        <w:keepNext w:val="0"/>
        <w:keepLines w:val="0"/>
        <w:pageBreakBefore w:val="0"/>
        <w:widowControl/>
        <w:kinsoku/>
        <w:wordWrap/>
        <w:overflowPunct/>
        <w:topLinePunct w:val="0"/>
        <w:autoSpaceDE/>
        <w:autoSpaceDN/>
        <w:bidi w:val="0"/>
        <w:spacing w:beforeAutospacing="0" w:afterAutospacing="0" w:line="560" w:lineRule="exact"/>
        <w:jc w:val="left"/>
        <w:textAlignment w:val="auto"/>
        <w:rPr>
          <w:rFonts w:hint="eastAsia" w:ascii="Times New Roman" w:hAnsi="Times New Roman" w:eastAsia="仿宋_GB2312" w:cs="Times New Roman"/>
          <w:b w:val="0"/>
          <w:bCs w:val="0"/>
          <w:color w:val="000000" w:themeColor="text1"/>
          <w:sz w:val="32"/>
          <w:szCs w:val="32"/>
          <w:lang w:val="en-US" w:eastAsia="zh-CN"/>
        </w:rPr>
      </w:pPr>
      <w:r>
        <w:rPr>
          <w:rFonts w:ascii="fang_song_gb2312" w:hAnsi="fang_song_gb2312" w:eastAsia="fang_song_gb2312" w:cs="fang_song_gb2312"/>
          <w:b/>
          <w:bCs/>
          <w:kern w:val="0"/>
          <w:sz w:val="27"/>
          <w:szCs w:val="27"/>
        </w:rPr>
        <w:t xml:space="preserve">    </w:t>
      </w:r>
      <w:r>
        <w:rPr>
          <w:rFonts w:hint="eastAsia" w:ascii="黑体" w:hAnsi="黑体" w:eastAsia="黑体" w:cs="Times New Roman"/>
          <w:sz w:val="32"/>
          <w:szCs w:val="32"/>
          <w:lang w:val="en-US" w:eastAsia="zh-CN"/>
        </w:rPr>
        <w:t>十三、项目支出：</w:t>
      </w:r>
      <w:r>
        <w:rPr>
          <w:rFonts w:hint="eastAsia" w:ascii="Times New Roman" w:hAnsi="Times New Roman" w:eastAsia="仿宋_GB2312" w:cs="Times New Roman"/>
          <w:b w:val="0"/>
          <w:bCs w:val="0"/>
          <w:color w:val="000000" w:themeColor="text1"/>
          <w:sz w:val="32"/>
          <w:szCs w:val="32"/>
          <w:lang w:val="en-US" w:eastAsia="zh-CN"/>
        </w:rPr>
        <w:t>指在为完成特定的工作任务和事业发展目标所发生的支出。</w:t>
      </w:r>
    </w:p>
    <w:p w14:paraId="439367C2">
      <w:pPr>
        <w:keepNext w:val="0"/>
        <w:keepLines w:val="0"/>
        <w:pageBreakBefore w:val="0"/>
        <w:widowControl/>
        <w:kinsoku/>
        <w:wordWrap/>
        <w:overflowPunct/>
        <w:topLinePunct w:val="0"/>
        <w:autoSpaceDE/>
        <w:autoSpaceDN/>
        <w:bidi w:val="0"/>
        <w:spacing w:beforeAutospacing="0" w:afterAutospacing="0" w:line="560" w:lineRule="exact"/>
        <w:jc w:val="left"/>
        <w:textAlignment w:val="auto"/>
        <w:rPr>
          <w:rFonts w:hint="eastAsia" w:ascii="Times New Roman" w:hAnsi="Times New Roman" w:eastAsia="仿宋_GB2312" w:cs="Times New Roman"/>
          <w:b w:val="0"/>
          <w:bCs w:val="0"/>
          <w:color w:val="000000" w:themeColor="text1"/>
          <w:sz w:val="32"/>
          <w:szCs w:val="32"/>
          <w:lang w:val="en-US" w:eastAsia="zh-CN"/>
        </w:rPr>
      </w:pPr>
      <w:r>
        <w:rPr>
          <w:rFonts w:ascii="fang_song_gb2312" w:hAnsi="fang_song_gb2312" w:eastAsia="fang_song_gb2312" w:cs="fang_song_gb2312"/>
          <w:b/>
          <w:bCs/>
          <w:kern w:val="0"/>
          <w:sz w:val="27"/>
          <w:szCs w:val="27"/>
        </w:rPr>
        <w:t xml:space="preserve">    </w:t>
      </w:r>
      <w:r>
        <w:rPr>
          <w:rFonts w:hint="eastAsia" w:ascii="黑体" w:hAnsi="黑体" w:eastAsia="黑体" w:cs="Times New Roman"/>
          <w:sz w:val="32"/>
          <w:szCs w:val="32"/>
          <w:lang w:val="en-US" w:eastAsia="zh-CN"/>
        </w:rPr>
        <w:t>十四、上缴上级支出：</w:t>
      </w:r>
      <w:r>
        <w:rPr>
          <w:rFonts w:hint="eastAsia" w:ascii="Times New Roman" w:hAnsi="Times New Roman" w:eastAsia="仿宋_GB2312" w:cs="Times New Roman"/>
          <w:b w:val="0"/>
          <w:bCs w:val="0"/>
          <w:color w:val="000000" w:themeColor="text1"/>
          <w:sz w:val="32"/>
          <w:szCs w:val="32"/>
          <w:lang w:val="en-US" w:eastAsia="zh-CN"/>
        </w:rPr>
        <w:t>指事业单位按照财政部门和主管部门的规定上缴上级单位的支出。</w:t>
      </w:r>
    </w:p>
    <w:p w14:paraId="0293493B">
      <w:pPr>
        <w:keepNext w:val="0"/>
        <w:keepLines w:val="0"/>
        <w:pageBreakBefore w:val="0"/>
        <w:widowControl/>
        <w:kinsoku/>
        <w:wordWrap/>
        <w:overflowPunct/>
        <w:topLinePunct w:val="0"/>
        <w:autoSpaceDE/>
        <w:autoSpaceDN/>
        <w:bidi w:val="0"/>
        <w:spacing w:beforeAutospacing="0" w:afterAutospacing="0" w:line="560" w:lineRule="exact"/>
        <w:jc w:val="left"/>
        <w:textAlignment w:val="auto"/>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xml:space="preserve">    </w:t>
      </w:r>
      <w:r>
        <w:rPr>
          <w:rFonts w:hint="eastAsia" w:ascii="黑体" w:hAnsi="黑体" w:eastAsia="黑体" w:cs="Times New Roman"/>
          <w:sz w:val="32"/>
          <w:szCs w:val="32"/>
          <w:lang w:val="en-US" w:eastAsia="zh-CN"/>
        </w:rPr>
        <w:t>十五、经营支出：</w:t>
      </w:r>
      <w:r>
        <w:rPr>
          <w:rFonts w:hint="eastAsia" w:ascii="Times New Roman" w:hAnsi="Times New Roman" w:eastAsia="仿宋_GB2312" w:cs="Times New Roman"/>
          <w:b w:val="0"/>
          <w:bCs w:val="0"/>
          <w:color w:val="000000" w:themeColor="text1"/>
          <w:sz w:val="32"/>
          <w:szCs w:val="32"/>
          <w:lang w:val="en-US" w:eastAsia="zh-CN"/>
        </w:rPr>
        <w:t>指事业单位在专业业务活动及其辅助活动之外开展非独立核算经营活动发生的支出。</w:t>
      </w:r>
    </w:p>
    <w:p w14:paraId="7E7B3BEA">
      <w:pPr>
        <w:keepNext w:val="0"/>
        <w:keepLines w:val="0"/>
        <w:pageBreakBefore w:val="0"/>
        <w:widowControl/>
        <w:kinsoku/>
        <w:wordWrap/>
        <w:overflowPunct/>
        <w:topLinePunct w:val="0"/>
        <w:autoSpaceDE/>
        <w:autoSpaceDN/>
        <w:bidi w:val="0"/>
        <w:spacing w:beforeAutospacing="0" w:afterAutospacing="0" w:line="560" w:lineRule="exact"/>
        <w:jc w:val="left"/>
        <w:textAlignment w:val="auto"/>
        <w:rPr>
          <w:rFonts w:hint="eastAsia" w:ascii="Times New Roman" w:hAnsi="Times New Roman" w:eastAsia="仿宋_GB2312" w:cs="Times New Roman"/>
          <w:b w:val="0"/>
          <w:bCs w:val="0"/>
          <w:color w:val="000000" w:themeColor="text1"/>
          <w:sz w:val="32"/>
          <w:szCs w:val="32"/>
          <w:lang w:val="en-US" w:eastAsia="zh-CN"/>
        </w:rPr>
      </w:pPr>
      <w:r>
        <w:rPr>
          <w:rFonts w:ascii="fang_song_gb2312" w:hAnsi="fang_song_gb2312" w:eastAsia="fang_song_gb2312" w:cs="fang_song_gb2312"/>
          <w:b/>
          <w:bCs/>
          <w:kern w:val="0"/>
          <w:sz w:val="27"/>
          <w:szCs w:val="27"/>
        </w:rPr>
        <w:t xml:space="preserve">    </w:t>
      </w:r>
      <w:r>
        <w:rPr>
          <w:rFonts w:hint="eastAsia" w:ascii="黑体" w:hAnsi="黑体" w:eastAsia="黑体" w:cs="Times New Roman"/>
          <w:sz w:val="32"/>
          <w:szCs w:val="32"/>
          <w:lang w:val="en-US" w:eastAsia="zh-CN"/>
        </w:rPr>
        <w:t>十六、对附属单位补助支出：</w:t>
      </w:r>
      <w:r>
        <w:rPr>
          <w:rFonts w:hint="eastAsia" w:ascii="Times New Roman" w:hAnsi="Times New Roman" w:eastAsia="仿宋_GB2312" w:cs="Times New Roman"/>
          <w:b w:val="0"/>
          <w:bCs w:val="0"/>
          <w:color w:val="000000" w:themeColor="text1"/>
          <w:sz w:val="32"/>
          <w:szCs w:val="32"/>
          <w:lang w:val="en-US" w:eastAsia="zh-CN"/>
        </w:rPr>
        <w:t>指事业单位用财政拨款收入之外的收入对附属单位补助发生的支出。</w:t>
      </w:r>
    </w:p>
    <w:p w14:paraId="1AB444F1">
      <w:pPr>
        <w:keepNext w:val="0"/>
        <w:keepLines w:val="0"/>
        <w:pageBreakBefore w:val="0"/>
        <w:widowControl/>
        <w:kinsoku/>
        <w:wordWrap/>
        <w:overflowPunct/>
        <w:topLinePunct w:val="0"/>
        <w:autoSpaceDE/>
        <w:autoSpaceDN/>
        <w:bidi w:val="0"/>
        <w:spacing w:beforeAutospacing="0" w:afterAutospacing="0" w:line="560" w:lineRule="exact"/>
        <w:jc w:val="left"/>
        <w:textAlignment w:val="auto"/>
        <w:rPr>
          <w:rFonts w:hint="eastAsia" w:ascii="Times New Roman" w:hAnsi="Times New Roman" w:eastAsia="仿宋_GB2312" w:cs="Times New Roman"/>
          <w:b w:val="0"/>
          <w:bCs w:val="0"/>
          <w:color w:val="000000" w:themeColor="text1"/>
          <w:sz w:val="32"/>
          <w:szCs w:val="32"/>
          <w:lang w:val="en-US" w:eastAsia="zh-CN"/>
        </w:rPr>
      </w:pPr>
      <w:r>
        <w:rPr>
          <w:rFonts w:ascii="fang_song_gb2312" w:hAnsi="fang_song_gb2312" w:eastAsia="fang_song_gb2312" w:cs="fang_song_gb2312"/>
          <w:b/>
          <w:bCs/>
          <w:kern w:val="0"/>
          <w:sz w:val="27"/>
          <w:szCs w:val="27"/>
        </w:rPr>
        <w:t xml:space="preserve">    </w:t>
      </w:r>
      <w:r>
        <w:rPr>
          <w:rFonts w:hint="eastAsia" w:ascii="黑体" w:hAnsi="黑体" w:eastAsia="黑体" w:cs="Times New Roman"/>
          <w:sz w:val="32"/>
          <w:szCs w:val="32"/>
          <w:lang w:val="en-US" w:eastAsia="zh-CN"/>
        </w:rPr>
        <w:t>十七、“三公”经费：</w:t>
      </w:r>
      <w:r>
        <w:rPr>
          <w:rFonts w:hint="eastAsia" w:ascii="Times New Roman" w:hAnsi="Times New Roman" w:eastAsia="仿宋_GB2312" w:cs="Times New Roman"/>
          <w:b w:val="0"/>
          <w:bCs w:val="0"/>
          <w:color w:val="000000" w:themeColor="text1"/>
          <w:sz w:val="32"/>
          <w:szCs w:val="32"/>
          <w:lang w:val="en-US" w:eastAsia="zh-CN"/>
        </w:rPr>
        <w:t>指部门（单位）用财政拨款安排的因公出国（境）费、公务用车购置及运行维护费和公务接待费。其中，因公出国（境）费反映部门（单位）)公务出国（境）的国际旅费、国外城市间交通费、住宿费、伙食费、培训费、公杂费等支出；公务用车购置及运行维护费反映部门（单位）公务用车购置支出（含车辆购置税、牌照费）以及按规定保留的公务用车燃料费、维修费、过路过桥费、保险费、安全奖励费用等支出；公务接待费反映部门（单位）按规定开支的各类公务接待（含外宾接待）费用。</w:t>
      </w:r>
    </w:p>
    <w:p w14:paraId="59BF580B">
      <w:pPr>
        <w:keepNext w:val="0"/>
        <w:keepLines w:val="0"/>
        <w:pageBreakBefore w:val="0"/>
        <w:widowControl/>
        <w:kinsoku/>
        <w:wordWrap/>
        <w:overflowPunct/>
        <w:topLinePunct w:val="0"/>
        <w:autoSpaceDE/>
        <w:autoSpaceDN/>
        <w:bidi w:val="0"/>
        <w:spacing w:beforeAutospacing="0" w:afterAutospacing="0" w:line="560" w:lineRule="exact"/>
        <w:jc w:val="left"/>
        <w:textAlignment w:val="auto"/>
        <w:rPr>
          <w:rFonts w:ascii="Times New Roman" w:hAnsi="Times New Roman" w:eastAsia="Times New Roman" w:cs="Times New Roman"/>
          <w:kern w:val="0"/>
          <w:sz w:val="24"/>
        </w:rPr>
      </w:pPr>
      <w:r>
        <w:rPr>
          <w:rFonts w:ascii="fang_song_gb2312" w:hAnsi="fang_song_gb2312" w:eastAsia="fang_song_gb2312" w:cs="fang_song_gb2312"/>
          <w:b/>
          <w:bCs/>
          <w:kern w:val="0"/>
          <w:sz w:val="27"/>
          <w:szCs w:val="27"/>
        </w:rPr>
        <w:t xml:space="preserve">    </w:t>
      </w:r>
      <w:r>
        <w:rPr>
          <w:rFonts w:hint="eastAsia" w:ascii="黑体" w:hAnsi="黑体" w:eastAsia="黑体" w:cs="Times New Roman"/>
          <w:sz w:val="32"/>
          <w:szCs w:val="32"/>
          <w:lang w:val="en-US" w:eastAsia="zh-CN"/>
        </w:rPr>
        <w:t>十八、机构运行经费：</w:t>
      </w:r>
      <w:r>
        <w:rPr>
          <w:rFonts w:hint="eastAsia" w:ascii="Times New Roman" w:hAnsi="Times New Roman" w:eastAsia="仿宋_GB2312" w:cs="Times New Roman"/>
          <w:b w:val="0"/>
          <w:bCs w:val="0"/>
          <w:color w:val="000000" w:themeColor="text1"/>
          <w:sz w:val="32"/>
          <w:szCs w:val="32"/>
          <w:lang w:val="en-US" w:eastAsia="zh-CN"/>
        </w:rPr>
        <w:t>指部门（单位）使用一般公共预算安排的基本支出中的日常公用经费支出，包括办公及印刷费、邮电费、差旅费、会议费、福利费、日常维修费、专用材料及一般设</w:t>
      </w:r>
      <w:bookmarkStart w:id="1" w:name="_GoBack"/>
      <w:bookmarkEnd w:id="1"/>
      <w:r>
        <w:rPr>
          <w:rFonts w:hint="eastAsia" w:ascii="Times New Roman" w:hAnsi="Times New Roman" w:eastAsia="仿宋_GB2312" w:cs="Times New Roman"/>
          <w:b w:val="0"/>
          <w:bCs w:val="0"/>
          <w:color w:val="000000" w:themeColor="text1"/>
          <w:sz w:val="32"/>
          <w:szCs w:val="32"/>
          <w:lang w:val="en-US" w:eastAsia="zh-CN"/>
        </w:rPr>
        <w:t>备购置费、办公用房水电费、办公用房取暖费、办公用房物业管理费、公务用车运行维护费及其他费用等。</w:t>
      </w:r>
    </w:p>
    <w:p w14:paraId="7E78A400">
      <w:pPr>
        <w:widowControl/>
        <w:spacing w:before="240" w:after="240"/>
        <w:jc w:val="left"/>
        <w:rPr>
          <w:rFonts w:ascii="Times New Roman" w:hAnsi="Times New Roman" w:eastAsia="Times New Roman" w:cs="Times New Roman"/>
          <w:kern w:val="0"/>
          <w:sz w:val="24"/>
        </w:rPr>
      </w:pPr>
    </w:p>
    <w:p w14:paraId="1B9C4829">
      <w:pPr>
        <w:pStyle w:val="5"/>
        <w:keepNext w:val="0"/>
        <w:keepLines w:val="0"/>
        <w:pageBreakBefore w:val="0"/>
        <w:widowControl/>
        <w:kinsoku/>
        <w:wordWrap/>
        <w:overflowPunct/>
        <w:topLinePunct w:val="0"/>
        <w:autoSpaceDE/>
        <w:autoSpaceDN/>
        <w:bidi w:val="0"/>
        <w:spacing w:before="0" w:beforeAutospacing="0" w:after="0" w:afterAutospacing="0" w:line="560" w:lineRule="exact"/>
        <w:jc w:val="center"/>
        <w:textAlignment w:val="auto"/>
        <w:rPr>
          <w:rFonts w:hint="eastAsia" w:ascii="楷体_GB2312" w:hAnsi="宋体" w:eastAsia="楷体_GB2312" w:cs="Times New Roman"/>
          <w:b/>
          <w:bCs w:val="0"/>
          <w:color w:val="000000"/>
          <w:kern w:val="2"/>
          <w:sz w:val="32"/>
          <w:szCs w:val="32"/>
          <w:lang w:val="en-US" w:eastAsia="zh-CN" w:bidi="ar-SA"/>
        </w:rPr>
      </w:pPr>
      <w:r>
        <w:rPr>
          <w:rFonts w:hint="eastAsia" w:ascii="楷体_GB2312" w:hAnsi="宋体" w:eastAsia="楷体_GB2312" w:cs="Times New Roman"/>
          <w:b/>
          <w:bCs w:val="0"/>
          <w:color w:val="000000"/>
          <w:kern w:val="2"/>
          <w:sz w:val="32"/>
          <w:szCs w:val="32"/>
          <w:lang w:val="en-US" w:eastAsia="zh-CN" w:bidi="ar-SA"/>
        </w:rPr>
        <w:t>第四部分 决算公开联系方式及信息反馈渠道</w:t>
      </w:r>
    </w:p>
    <w:p w14:paraId="5891C289">
      <w:pPr>
        <w:widowControl/>
        <w:spacing w:before="240" w:after="240"/>
        <w:jc w:val="left"/>
        <w:rPr>
          <w:rFonts w:ascii="Times New Roman" w:hAnsi="Times New Roman" w:eastAsia="Times New Roman" w:cs="Times New Roman"/>
          <w:kern w:val="0"/>
          <w:sz w:val="24"/>
        </w:rPr>
      </w:pPr>
    </w:p>
    <w:p w14:paraId="239EF4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Times New Roman"/>
          <w:b w:val="0"/>
          <w:bCs w:val="0"/>
          <w:color w:val="000000" w:themeColor="text1"/>
          <w:sz w:val="32"/>
          <w:szCs w:val="32"/>
          <w:lang w:val="en-US" w:eastAsia="zh-CN"/>
        </w:rPr>
      </w:pPr>
      <w:r>
        <w:rPr>
          <w:rFonts w:hint="eastAsia" w:ascii="Times New Roman" w:hAnsi="Times New Roman" w:eastAsia="仿宋_GB2312" w:cs="Times New Roman"/>
          <w:b w:val="0"/>
          <w:bCs w:val="0"/>
          <w:color w:val="000000" w:themeColor="text1"/>
          <w:sz w:val="32"/>
          <w:szCs w:val="32"/>
          <w:lang w:val="en-US" w:eastAsia="zh-CN"/>
        </w:rPr>
        <w:t>本单位决算公开信息反馈和联系方式：</w:t>
      </w:r>
    </w:p>
    <w:p w14:paraId="772361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Times New Roman" w:hAnsi="Times New Roman" w:eastAsia="仿宋_GB2312" w:cs="Times New Roman"/>
          <w:b w:val="0"/>
          <w:bCs w:val="0"/>
          <w:color w:val="000000" w:themeColor="text1"/>
          <w:sz w:val="32"/>
          <w:szCs w:val="32"/>
          <w:lang w:val="en-US" w:eastAsia="zh-CN"/>
        </w:rPr>
      </w:pPr>
      <w:r>
        <w:rPr>
          <w:rFonts w:hint="eastAsia" w:ascii="Times New Roman" w:hAnsi="Times New Roman" w:eastAsia="仿宋_GB2312" w:cs="Times New Roman"/>
          <w:b w:val="0"/>
          <w:bCs w:val="0"/>
          <w:color w:val="000000" w:themeColor="text1"/>
          <w:sz w:val="32"/>
          <w:szCs w:val="32"/>
          <w:lang w:val="en-US" w:eastAsia="zh-CN"/>
        </w:rPr>
        <w:t>联系人：敖日格乐           联系电话：0477-6638890 </w:t>
      </w:r>
    </w:p>
    <w:p w14:paraId="077BC52A">
      <w:pPr>
        <w:widowControl/>
        <w:spacing w:before="240" w:after="240"/>
        <w:jc w:val="left"/>
        <w:rPr>
          <w:rFonts w:ascii="Times New Roman" w:hAnsi="Times New Roman" w:eastAsia="Times New Roman" w:cs="Times New Roman"/>
          <w:kern w:val="0"/>
          <w:sz w:val="24"/>
        </w:rPr>
      </w:pPr>
    </w:p>
    <w:p w14:paraId="56AD524F">
      <w:pPr>
        <w:pStyle w:val="2"/>
      </w:pPr>
    </w:p>
    <w:p w14:paraId="01820130">
      <w:pPr>
        <w:pStyle w:val="5"/>
        <w:keepNext w:val="0"/>
        <w:keepLines w:val="0"/>
        <w:pageBreakBefore w:val="0"/>
        <w:widowControl/>
        <w:kinsoku/>
        <w:wordWrap/>
        <w:overflowPunct/>
        <w:topLinePunct w:val="0"/>
        <w:autoSpaceDE/>
        <w:autoSpaceDN/>
        <w:bidi w:val="0"/>
        <w:spacing w:before="0" w:beforeAutospacing="0" w:after="0" w:afterAutospacing="0" w:line="560" w:lineRule="exact"/>
        <w:jc w:val="center"/>
        <w:textAlignment w:val="auto"/>
        <w:rPr>
          <w:rFonts w:hint="eastAsia" w:ascii="楷体_GB2312" w:hAnsi="宋体" w:eastAsia="楷体_GB2312" w:cs="Times New Roman"/>
          <w:b/>
          <w:bCs w:val="0"/>
          <w:color w:val="000000"/>
          <w:kern w:val="2"/>
          <w:sz w:val="32"/>
          <w:szCs w:val="32"/>
          <w:lang w:val="en-US" w:eastAsia="zh-CN" w:bidi="ar-SA"/>
        </w:rPr>
      </w:pPr>
      <w:r>
        <w:rPr>
          <w:rFonts w:hint="eastAsia" w:ascii="楷体_GB2312" w:hAnsi="宋体" w:eastAsia="楷体_GB2312" w:cs="Times New Roman"/>
          <w:b/>
          <w:bCs w:val="0"/>
          <w:color w:val="000000"/>
          <w:kern w:val="2"/>
          <w:sz w:val="32"/>
          <w:szCs w:val="32"/>
          <w:lang w:val="en-US" w:eastAsia="zh-CN" w:bidi="ar-SA"/>
        </w:rPr>
        <w:t>第五部分 部门决算表</w:t>
      </w:r>
    </w:p>
    <w:p w14:paraId="37E908B2">
      <w:pPr>
        <w:widowControl/>
        <w:spacing w:before="240" w:after="240"/>
        <w:jc w:val="center"/>
        <w:rPr>
          <w:rFonts w:ascii="Times New Roman" w:hAnsi="Times New Roman" w:eastAsia="Times New Roman" w:cs="Times New Roman"/>
          <w:kern w:val="0"/>
          <w:sz w:val="24"/>
        </w:rPr>
      </w:pPr>
    </w:p>
    <w:p w14:paraId="3C5FB2C1">
      <w:pPr>
        <w:widowControl/>
        <w:spacing w:before="240" w:after="240"/>
        <w:ind w:firstLine="640" w:firstLineChars="200"/>
        <w:jc w:val="left"/>
        <w:rPr>
          <w:rFonts w:ascii="Times New Roman" w:hAnsi="Times New Roman" w:eastAsia="Times New Roman" w:cs="Times New Roman"/>
          <w:kern w:val="0"/>
          <w:sz w:val="24"/>
        </w:rPr>
      </w:pPr>
      <w:r>
        <w:rPr>
          <w:rFonts w:hint="eastAsia" w:eastAsia="仿宋_GB2312" w:cs="Times New Roman"/>
          <w:b w:val="0"/>
          <w:bCs w:val="0"/>
          <w:color w:val="000000" w:themeColor="text1"/>
          <w:sz w:val="32"/>
          <w:szCs w:val="32"/>
          <w:lang w:val="en-US" w:eastAsia="zh-CN"/>
        </w:rPr>
        <w:t>详</w:t>
      </w:r>
      <w:r>
        <w:rPr>
          <w:rFonts w:hint="eastAsia" w:ascii="Times New Roman" w:hAnsi="Times New Roman" w:eastAsia="仿宋_GB2312" w:cs="Times New Roman"/>
          <w:b w:val="0"/>
          <w:bCs w:val="0"/>
          <w:color w:val="000000" w:themeColor="text1"/>
          <w:sz w:val="32"/>
          <w:szCs w:val="32"/>
          <w:lang w:val="en-US" w:eastAsia="zh-CN"/>
        </w:rPr>
        <w:t>见附件。</w:t>
      </w:r>
    </w:p>
    <w:bookmarkEnd w:id="0"/>
    <w:p w14:paraId="26A918AB">
      <w:pPr>
        <w:adjustRightInd w:val="0"/>
        <w:snapToGrid w:val="0"/>
        <w:rPr>
          <w:rFonts w:ascii="宋体" w:hAnsi="宋体"/>
          <w:b/>
          <w:sz w:val="32"/>
          <w:szCs w:val="32"/>
        </w:rPr>
      </w:pPr>
    </w:p>
    <w:p w14:paraId="16B721BE">
      <w:pPr>
        <w:adjustRightInd w:val="0"/>
        <w:snapToGrid w:val="0"/>
        <w:rPr>
          <w:rFonts w:ascii="宋体" w:hAnsi="宋体"/>
          <w:b/>
          <w:sz w:val="32"/>
          <w:szCs w:val="32"/>
        </w:rPr>
      </w:pPr>
    </w:p>
    <w:p w14:paraId="064DC7E7">
      <w:pPr>
        <w:tabs>
          <w:tab w:val="left" w:pos="8415"/>
        </w:tabs>
      </w:pPr>
    </w:p>
    <w:sectPr>
      <w:footerReference r:id="rId4" w:type="default"/>
      <w:pgSz w:w="11906" w:h="16838"/>
      <w:pgMar w:top="2098" w:right="1474" w:bottom="1984" w:left="1587" w:header="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fang_song_gb2312">
    <w:altName w:val="Segoe Print"/>
    <w:panose1 w:val="00000000000000000000"/>
    <w:charset w:val="00"/>
    <w:family w:val="auto"/>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00" w:usb3="00000000" w:csb0="00040000" w:csb1="00000000"/>
  </w:font>
  <w:font w:name="fang_zheng_xiao_biao_song_ti">
    <w:altName w:val="Segoe Print"/>
    <w:panose1 w:val="00000000000000000000"/>
    <w:charset w:val="00"/>
    <w:family w:val="auto"/>
    <w:pitch w:val="default"/>
    <w:sig w:usb0="00000000" w:usb1="00000000" w:usb2="00000000" w:usb3="00000000" w:csb0="00000000" w:csb1="00000000"/>
  </w:font>
  <w:font w:name="times_new_roman">
    <w:altName w:val="Segoe Print"/>
    <w:panose1 w:val="00000000000000000000"/>
    <w:charset w:val="00"/>
    <w:family w:val="auto"/>
    <w:pitch w:val="default"/>
    <w:sig w:usb0="00000000" w:usb1="00000000" w:usb2="00000000" w:usb3="00000000" w:csb0="00000000" w:csb1="00000000"/>
  </w:font>
  <w:font w:name="kai_ti_gb2312">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10006FF" w:usb1="4000205B" w:usb2="00000010" w:usb3="00000000" w:csb0="2000019F"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D50153">
    <w:pPr>
      <w:jc w:val="center"/>
    </w:pPr>
    <w:r>
      <w:rPr>
        <w:rFonts w:ascii="宋体" w:hAnsi="宋体" w:eastAsia="宋体" w:cs="宋体"/>
        <w:sz w:val="18"/>
      </w:rPr>
      <w:fldChar w:fldCharType="begin"/>
    </w:r>
    <w:r>
      <w:rPr>
        <w:rFonts w:ascii="宋体" w:hAnsi="宋体" w:eastAsia="宋体" w:cs="宋体"/>
        <w:sz w:val="18"/>
      </w:rPr>
      <w:instrText xml:space="preserve"> PAGE </w:instrText>
    </w:r>
    <w:r>
      <w:rPr>
        <w:rFonts w:ascii="宋体" w:hAnsi="宋体" w:eastAsia="宋体" w:cs="宋体"/>
        <w:sz w:val="18"/>
      </w:rPr>
      <w:fldChar w:fldCharType="separate"/>
    </w:r>
    <w:r>
      <w:rPr>
        <w:rFonts w:ascii="宋体" w:hAnsi="宋体" w:eastAsia="宋体" w:cs="宋体"/>
        <w:sz w:val="18"/>
      </w:rPr>
      <w:t>1</w:t>
    </w:r>
    <w:r>
      <w:rPr>
        <w:rFonts w:ascii="宋体" w:hAnsi="宋体" w:eastAsia="宋体" w:cs="宋体"/>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F4D134">
    <w:pPr>
      <w:pStyle w:val="14"/>
      <w:jc w:val="center"/>
    </w:pPr>
    <w:r>
      <w:fldChar w:fldCharType="begin"/>
    </w:r>
    <w:r>
      <w:instrText xml:space="preserve"> PAGE   \* MERGEFORMAT </w:instrText>
    </w:r>
    <w:r>
      <w:fldChar w:fldCharType="separate"/>
    </w:r>
    <w:r>
      <w:rPr>
        <w:lang w:val="zh-CN"/>
      </w:rPr>
      <w:t>24</w:t>
    </w:r>
    <w:r>
      <w:rPr>
        <w:lang w:val="zh-CN"/>
      </w:rPr>
      <w:fldChar w:fldCharType="end"/>
    </w:r>
  </w:p>
  <w:p w14:paraId="2E0A9122">
    <w:pPr>
      <w:pStyle w:val="1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lY2RiMDNkNjAxMjlhNmFhNzE2NmMwOWM5ZWZiMmYifQ=="/>
  </w:docVars>
  <w:rsids>
    <w:rsidRoot w:val="009F0536"/>
    <w:rsid w:val="0000662F"/>
    <w:rsid w:val="00023E75"/>
    <w:rsid w:val="00033C6A"/>
    <w:rsid w:val="00063AC2"/>
    <w:rsid w:val="000774F0"/>
    <w:rsid w:val="0008308B"/>
    <w:rsid w:val="00097269"/>
    <w:rsid w:val="000A769F"/>
    <w:rsid w:val="000D3889"/>
    <w:rsid w:val="0010682D"/>
    <w:rsid w:val="001620BF"/>
    <w:rsid w:val="001814D4"/>
    <w:rsid w:val="00183373"/>
    <w:rsid w:val="001E7634"/>
    <w:rsid w:val="00204509"/>
    <w:rsid w:val="00225D2E"/>
    <w:rsid w:val="0023107E"/>
    <w:rsid w:val="00233241"/>
    <w:rsid w:val="00297C52"/>
    <w:rsid w:val="00300987"/>
    <w:rsid w:val="0030784F"/>
    <w:rsid w:val="00312846"/>
    <w:rsid w:val="00367870"/>
    <w:rsid w:val="00375E79"/>
    <w:rsid w:val="003A4E85"/>
    <w:rsid w:val="003B3EAA"/>
    <w:rsid w:val="00482D36"/>
    <w:rsid w:val="00490629"/>
    <w:rsid w:val="0049507B"/>
    <w:rsid w:val="004A738F"/>
    <w:rsid w:val="004B1589"/>
    <w:rsid w:val="004B721F"/>
    <w:rsid w:val="004D7065"/>
    <w:rsid w:val="004E0B6C"/>
    <w:rsid w:val="005011E1"/>
    <w:rsid w:val="00505A51"/>
    <w:rsid w:val="0051384E"/>
    <w:rsid w:val="00521603"/>
    <w:rsid w:val="00536012"/>
    <w:rsid w:val="0054657E"/>
    <w:rsid w:val="0059054F"/>
    <w:rsid w:val="00596608"/>
    <w:rsid w:val="005B4139"/>
    <w:rsid w:val="005C13AB"/>
    <w:rsid w:val="00667493"/>
    <w:rsid w:val="006C017F"/>
    <w:rsid w:val="006E7255"/>
    <w:rsid w:val="007003B2"/>
    <w:rsid w:val="007402A0"/>
    <w:rsid w:val="00762248"/>
    <w:rsid w:val="00787000"/>
    <w:rsid w:val="007A7BA5"/>
    <w:rsid w:val="007B6706"/>
    <w:rsid w:val="007C1FDD"/>
    <w:rsid w:val="007D6292"/>
    <w:rsid w:val="00857D98"/>
    <w:rsid w:val="00894C48"/>
    <w:rsid w:val="00896385"/>
    <w:rsid w:val="008A10DB"/>
    <w:rsid w:val="008B5455"/>
    <w:rsid w:val="009125DD"/>
    <w:rsid w:val="00954CD9"/>
    <w:rsid w:val="009A5EF3"/>
    <w:rsid w:val="009D6904"/>
    <w:rsid w:val="009E1EE8"/>
    <w:rsid w:val="009E227B"/>
    <w:rsid w:val="009E308A"/>
    <w:rsid w:val="009F0536"/>
    <w:rsid w:val="00A147CF"/>
    <w:rsid w:val="00A270BE"/>
    <w:rsid w:val="00A36C1D"/>
    <w:rsid w:val="00A517A0"/>
    <w:rsid w:val="00A62486"/>
    <w:rsid w:val="00AB013A"/>
    <w:rsid w:val="00AD11A5"/>
    <w:rsid w:val="00AE47F5"/>
    <w:rsid w:val="00AF5F33"/>
    <w:rsid w:val="00B27D51"/>
    <w:rsid w:val="00B32BEE"/>
    <w:rsid w:val="00B373AF"/>
    <w:rsid w:val="00B4208A"/>
    <w:rsid w:val="00B57D7A"/>
    <w:rsid w:val="00B76620"/>
    <w:rsid w:val="00B840CE"/>
    <w:rsid w:val="00B96C3D"/>
    <w:rsid w:val="00BD0928"/>
    <w:rsid w:val="00BE5F73"/>
    <w:rsid w:val="00BF4228"/>
    <w:rsid w:val="00C07A30"/>
    <w:rsid w:val="00C352FF"/>
    <w:rsid w:val="00C44231"/>
    <w:rsid w:val="00CC6B8B"/>
    <w:rsid w:val="00CD3751"/>
    <w:rsid w:val="00D2051A"/>
    <w:rsid w:val="00D96390"/>
    <w:rsid w:val="00E219E7"/>
    <w:rsid w:val="00E60D6A"/>
    <w:rsid w:val="00E73321"/>
    <w:rsid w:val="00E77EC0"/>
    <w:rsid w:val="00E914C1"/>
    <w:rsid w:val="00E97C37"/>
    <w:rsid w:val="00EE533B"/>
    <w:rsid w:val="00F04882"/>
    <w:rsid w:val="00F63327"/>
    <w:rsid w:val="00F80A29"/>
    <w:rsid w:val="00FA7CA5"/>
    <w:rsid w:val="00FD08EC"/>
    <w:rsid w:val="00FD7690"/>
    <w:rsid w:val="03107530"/>
    <w:rsid w:val="03EA4EB5"/>
    <w:rsid w:val="09D31D0F"/>
    <w:rsid w:val="0B3F3282"/>
    <w:rsid w:val="0CC06B9E"/>
    <w:rsid w:val="0ED35543"/>
    <w:rsid w:val="15D1174D"/>
    <w:rsid w:val="16F71C20"/>
    <w:rsid w:val="17B1375A"/>
    <w:rsid w:val="1C5A1749"/>
    <w:rsid w:val="1D6035A7"/>
    <w:rsid w:val="1DD3028D"/>
    <w:rsid w:val="23BD4191"/>
    <w:rsid w:val="24662AAB"/>
    <w:rsid w:val="2E473325"/>
    <w:rsid w:val="37646A66"/>
    <w:rsid w:val="3CFD2C38"/>
    <w:rsid w:val="450947EC"/>
    <w:rsid w:val="45806396"/>
    <w:rsid w:val="4861169C"/>
    <w:rsid w:val="50FB2A26"/>
    <w:rsid w:val="52CC2553"/>
    <w:rsid w:val="52EB7246"/>
    <w:rsid w:val="545079F4"/>
    <w:rsid w:val="595F474F"/>
    <w:rsid w:val="5A814365"/>
    <w:rsid w:val="5EBB4843"/>
    <w:rsid w:val="62677A0C"/>
    <w:rsid w:val="64651395"/>
    <w:rsid w:val="67617362"/>
    <w:rsid w:val="6B691051"/>
    <w:rsid w:val="6CB1335C"/>
    <w:rsid w:val="6FEA07C0"/>
    <w:rsid w:val="753847E6"/>
    <w:rsid w:val="7E8A7362"/>
    <w:rsid w:val="7F4A6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qFormat="1" w:unhideWhenUsed="0" w:uiPriority="99"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link w:val="31"/>
    <w:qFormat/>
    <w:uiPriority w:val="0"/>
    <w:pPr>
      <w:keepNext/>
      <w:keepLines/>
      <w:spacing w:before="260" w:after="260" w:line="416" w:lineRule="auto"/>
      <w:outlineLvl w:val="2"/>
    </w:pPr>
    <w:rPr>
      <w:b/>
      <w:bCs/>
      <w:sz w:val="32"/>
      <w:szCs w:val="32"/>
    </w:rPr>
  </w:style>
  <w:style w:type="paragraph" w:styleId="7">
    <w:name w:val="heading 4"/>
    <w:basedOn w:val="1"/>
    <w:next w:val="1"/>
    <w:link w:val="26"/>
    <w:qFormat/>
    <w:uiPriority w:val="0"/>
    <w:pPr>
      <w:keepNext/>
      <w:keepLines/>
      <w:spacing w:before="280" w:after="290" w:line="376" w:lineRule="auto"/>
      <w:outlineLvl w:val="3"/>
    </w:pPr>
    <w:rPr>
      <w:rFonts w:ascii="Cambria" w:hAnsi="Cambria"/>
      <w:b/>
      <w:bCs/>
      <w:sz w:val="28"/>
      <w:szCs w:val="28"/>
    </w:rPr>
  </w:style>
  <w:style w:type="character" w:default="1" w:styleId="23">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99"/>
    <w:pPr>
      <w:spacing w:before="0" w:beforeAutospacing="0" w:after="0" w:afterAutospacing="0"/>
      <w:ind w:left="0" w:right="0" w:firstLine="640" w:firstLineChars="200"/>
      <w:jc w:val="left"/>
    </w:pPr>
    <w:rPr>
      <w:rFonts w:hint="default" w:ascii="Times New Roman" w:hAnsi="Times New Roman" w:eastAsia="仿宋_GB2312" w:cs="Times New Roman"/>
      <w:kern w:val="0"/>
      <w:sz w:val="32"/>
      <w:szCs w:val="32"/>
      <w:lang w:val="en-US" w:eastAsia="zh-CN" w:bidi="ar"/>
    </w:rPr>
  </w:style>
  <w:style w:type="paragraph" w:styleId="3">
    <w:name w:val="Body Text Indent"/>
    <w:basedOn w:val="1"/>
    <w:unhideWhenUsed/>
    <w:qFormat/>
    <w:uiPriority w:val="99"/>
    <w:pPr>
      <w:ind w:firstLine="640" w:firstLineChars="200"/>
    </w:pPr>
    <w:rPr>
      <w:rFonts w:ascii="Times New Roman" w:hAnsi="Times New Roman" w:eastAsia="仿宋_GB2312" w:cs="Times New Roman"/>
      <w:sz w:val="32"/>
      <w:szCs w:val="24"/>
    </w:rPr>
  </w:style>
  <w:style w:type="paragraph" w:styleId="8">
    <w:name w:val="toc 7"/>
    <w:basedOn w:val="1"/>
    <w:next w:val="1"/>
    <w:autoRedefine/>
    <w:qFormat/>
    <w:uiPriority w:val="0"/>
    <w:pPr>
      <w:ind w:left="1260"/>
      <w:jc w:val="left"/>
    </w:pPr>
    <w:rPr>
      <w:sz w:val="20"/>
      <w:szCs w:val="20"/>
    </w:rPr>
  </w:style>
  <w:style w:type="paragraph" w:styleId="9">
    <w:name w:val="Normal Indent"/>
    <w:basedOn w:val="1"/>
    <w:qFormat/>
    <w:uiPriority w:val="0"/>
    <w:pPr>
      <w:ind w:firstLine="200" w:firstLineChars="200"/>
    </w:pPr>
  </w:style>
  <w:style w:type="paragraph" w:styleId="10">
    <w:name w:val="Document Map"/>
    <w:basedOn w:val="1"/>
    <w:qFormat/>
    <w:uiPriority w:val="0"/>
    <w:pPr>
      <w:shd w:val="clear" w:color="auto" w:fill="000080"/>
    </w:pPr>
  </w:style>
  <w:style w:type="paragraph" w:styleId="11">
    <w:name w:val="toc 5"/>
    <w:basedOn w:val="1"/>
    <w:next w:val="1"/>
    <w:autoRedefine/>
    <w:qFormat/>
    <w:uiPriority w:val="0"/>
    <w:pPr>
      <w:ind w:left="840"/>
      <w:jc w:val="left"/>
    </w:pPr>
    <w:rPr>
      <w:sz w:val="20"/>
      <w:szCs w:val="20"/>
    </w:rPr>
  </w:style>
  <w:style w:type="paragraph" w:styleId="12">
    <w:name w:val="toc 3"/>
    <w:basedOn w:val="1"/>
    <w:next w:val="1"/>
    <w:qFormat/>
    <w:uiPriority w:val="0"/>
    <w:pPr>
      <w:adjustRightInd w:val="0"/>
      <w:snapToGrid w:val="0"/>
      <w:spacing w:line="360" w:lineRule="auto"/>
      <w:ind w:firstLine="400" w:firstLineChars="400"/>
      <w:jc w:val="left"/>
    </w:pPr>
    <w:rPr>
      <w:sz w:val="24"/>
      <w:szCs w:val="20"/>
    </w:rPr>
  </w:style>
  <w:style w:type="paragraph" w:styleId="13">
    <w:name w:val="toc 8"/>
    <w:basedOn w:val="1"/>
    <w:next w:val="1"/>
    <w:autoRedefine/>
    <w:qFormat/>
    <w:uiPriority w:val="0"/>
    <w:pPr>
      <w:ind w:left="1470"/>
      <w:jc w:val="left"/>
    </w:pPr>
    <w:rPr>
      <w:sz w:val="20"/>
      <w:szCs w:val="20"/>
    </w:rPr>
  </w:style>
  <w:style w:type="paragraph" w:styleId="14">
    <w:name w:val="footer"/>
    <w:basedOn w:val="1"/>
    <w:link w:val="29"/>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0"/>
    <w:pPr>
      <w:adjustRightInd w:val="0"/>
      <w:snapToGrid w:val="0"/>
      <w:spacing w:line="360" w:lineRule="auto"/>
      <w:jc w:val="left"/>
    </w:pPr>
    <w:rPr>
      <w:b/>
      <w:bCs/>
      <w:sz w:val="24"/>
      <w:szCs w:val="20"/>
    </w:rPr>
  </w:style>
  <w:style w:type="paragraph" w:styleId="17">
    <w:name w:val="toc 4"/>
    <w:basedOn w:val="1"/>
    <w:next w:val="1"/>
    <w:autoRedefine/>
    <w:qFormat/>
    <w:uiPriority w:val="0"/>
    <w:pPr>
      <w:ind w:left="630"/>
      <w:jc w:val="left"/>
    </w:pPr>
    <w:rPr>
      <w:sz w:val="20"/>
      <w:szCs w:val="20"/>
    </w:rPr>
  </w:style>
  <w:style w:type="paragraph" w:styleId="18">
    <w:name w:val="toc 6"/>
    <w:basedOn w:val="1"/>
    <w:next w:val="1"/>
    <w:autoRedefine/>
    <w:uiPriority w:val="0"/>
    <w:pPr>
      <w:ind w:left="1050"/>
      <w:jc w:val="left"/>
    </w:pPr>
    <w:rPr>
      <w:sz w:val="20"/>
      <w:szCs w:val="20"/>
    </w:rPr>
  </w:style>
  <w:style w:type="paragraph" w:styleId="19">
    <w:name w:val="toc 2"/>
    <w:basedOn w:val="1"/>
    <w:next w:val="1"/>
    <w:qFormat/>
    <w:uiPriority w:val="0"/>
    <w:pPr>
      <w:adjustRightInd w:val="0"/>
      <w:snapToGrid w:val="0"/>
      <w:spacing w:line="360" w:lineRule="auto"/>
      <w:ind w:firstLine="200" w:firstLineChars="200"/>
      <w:jc w:val="left"/>
    </w:pPr>
    <w:rPr>
      <w:iCs/>
      <w:sz w:val="24"/>
      <w:szCs w:val="20"/>
    </w:rPr>
  </w:style>
  <w:style w:type="paragraph" w:styleId="20">
    <w:name w:val="toc 9"/>
    <w:basedOn w:val="1"/>
    <w:next w:val="1"/>
    <w:autoRedefine/>
    <w:qFormat/>
    <w:uiPriority w:val="0"/>
    <w:pPr>
      <w:ind w:left="1680"/>
      <w:jc w:val="left"/>
    </w:pPr>
    <w:rPr>
      <w:sz w:val="20"/>
      <w:szCs w:val="20"/>
    </w:rPr>
  </w:style>
  <w:style w:type="paragraph" w:styleId="21">
    <w:name w:val="Normal (Web)"/>
    <w:basedOn w:val="1"/>
    <w:qFormat/>
    <w:uiPriority w:val="0"/>
    <w:pPr>
      <w:spacing w:before="0" w:beforeAutospacing="1" w:after="0" w:afterAutospacing="1"/>
      <w:ind w:left="0" w:right="0"/>
      <w:jc w:val="left"/>
    </w:pPr>
    <w:rPr>
      <w:kern w:val="0"/>
      <w:sz w:val="24"/>
      <w:lang w:val="en-US" w:eastAsia="zh-CN" w:bidi="ar"/>
    </w:rPr>
  </w:style>
  <w:style w:type="character" w:styleId="24">
    <w:name w:val="page number"/>
    <w:basedOn w:val="23"/>
    <w:qFormat/>
    <w:uiPriority w:val="0"/>
  </w:style>
  <w:style w:type="character" w:styleId="25">
    <w:name w:val="Hyperlink"/>
    <w:basedOn w:val="23"/>
    <w:qFormat/>
    <w:uiPriority w:val="0"/>
    <w:rPr>
      <w:color w:val="0000FF"/>
      <w:u w:val="single"/>
    </w:rPr>
  </w:style>
  <w:style w:type="character" w:customStyle="1" w:styleId="26">
    <w:name w:val="标题 4 字符"/>
    <w:basedOn w:val="23"/>
    <w:link w:val="7"/>
    <w:qFormat/>
    <w:uiPriority w:val="0"/>
    <w:rPr>
      <w:rFonts w:ascii="Cambria" w:hAnsi="Cambria"/>
      <w:b/>
      <w:bCs/>
      <w:kern w:val="2"/>
      <w:sz w:val="28"/>
      <w:szCs w:val="28"/>
    </w:rPr>
  </w:style>
  <w:style w:type="paragraph" w:styleId="27">
    <w:name w:val="No Spacing"/>
    <w:link w:val="28"/>
    <w:qFormat/>
    <w:uiPriority w:val="0"/>
    <w:pPr>
      <w:ind w:firstLine="200" w:firstLineChars="200"/>
    </w:pPr>
    <w:rPr>
      <w:rFonts w:ascii="Times New Roman" w:hAnsi="Times New Roman" w:eastAsia="仿宋_GB2312" w:cs="Times New Roman"/>
      <w:sz w:val="30"/>
      <w:szCs w:val="22"/>
      <w:lang w:val="en-US" w:eastAsia="zh-CN" w:bidi="ar-SA"/>
    </w:rPr>
  </w:style>
  <w:style w:type="character" w:customStyle="1" w:styleId="28">
    <w:name w:val="无间隔 字符"/>
    <w:link w:val="27"/>
    <w:qFormat/>
    <w:locked/>
    <w:uiPriority w:val="0"/>
    <w:rPr>
      <w:rFonts w:eastAsia="仿宋_GB2312"/>
      <w:sz w:val="30"/>
      <w:szCs w:val="22"/>
      <w:lang w:bidi="ar-SA"/>
    </w:rPr>
  </w:style>
  <w:style w:type="character" w:customStyle="1" w:styleId="29">
    <w:name w:val="页脚 字符"/>
    <w:basedOn w:val="23"/>
    <w:link w:val="14"/>
    <w:qFormat/>
    <w:uiPriority w:val="0"/>
    <w:rPr>
      <w:kern w:val="2"/>
      <w:sz w:val="18"/>
      <w:szCs w:val="18"/>
    </w:rPr>
  </w:style>
  <w:style w:type="paragraph" w:styleId="30">
    <w:name w:val="List Paragraph"/>
    <w:basedOn w:val="1"/>
    <w:qFormat/>
    <w:uiPriority w:val="0"/>
    <w:pPr>
      <w:ind w:firstLine="420" w:firstLineChars="200"/>
    </w:pPr>
  </w:style>
  <w:style w:type="character" w:customStyle="1" w:styleId="31">
    <w:name w:val="标题 3 字符"/>
    <w:basedOn w:val="23"/>
    <w:link w:val="6"/>
    <w:uiPriority w:val="0"/>
    <w:rPr>
      <w:b/>
      <w:bCs/>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36130;&#21153;&#23460;\Desktop\&#32472;&#2227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36130;&#21153;&#23460;\Desktop\&#32472;&#2227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收入决算图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1,328.81万元</a:t>
                    </a:r>
                  </a:p>
                </c:rich>
              </c:tx>
              <c:dLblPos val="bestFit"/>
              <c:showLegendKey val="0"/>
              <c:showVal val="1"/>
              <c:showCatName val="0"/>
              <c:showSerName val="0"/>
              <c:showPercent val="0"/>
              <c:showBubbleSize val="0"/>
              <c:extLst>
                <c:ext xmlns:c15="http://schemas.microsoft.com/office/drawing/2012/chart" uri="{CE6537A1-D6FC-4f65-9D91-7224C49458BB}"/>
              </c:extLst>
            </c:dLbl>
            <c:dLbl>
              <c:idx val="1"/>
              <c:layout>
                <c:manualLayout>
                  <c:x val="0.0453947368421053"/>
                  <c:y val="0.114583333333333"/>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240.2万元</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[绘图.xlsx]Sheet1!$E$2:$F$2</c:f>
              <c:strCache>
                <c:ptCount val="2"/>
                <c:pt idx="0">
                  <c:v>财政拨款收入</c:v>
                </c:pt>
                <c:pt idx="1">
                  <c:v>其他收入</c:v>
                </c:pt>
              </c:strCache>
            </c:strRef>
          </c:cat>
          <c:val>
            <c:numRef>
              <c:f>[绘图.xlsx]Sheet1!$E$3:$F$3</c:f>
              <c:numCache>
                <c:formatCode>#,##0.00</c:formatCode>
                <c:ptCount val="2"/>
                <c:pt idx="0">
                  <c:v>1328.81</c:v>
                </c:pt>
                <c:pt idx="1" c:formatCode="General">
                  <c:v>240.2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0"/>
    </a:gra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tx1">
                    <a:lumMod val="75000"/>
                    <a:lumOff val="25000"/>
                  </a:schemeClr>
                </a:solidFill>
                <a:latin typeface="+mn-lt"/>
                <a:ea typeface="+mn-ea"/>
                <a:cs typeface="+mn-cs"/>
              </a:defRPr>
            </a:pPr>
            <a:r>
              <a:t>支出决算图</a:t>
            </a:r>
          </a:p>
        </c:rich>
      </c:tx>
      <c:layout/>
      <c:overlay val="0"/>
      <c:spPr>
        <a:noFill/>
        <a:ln>
          <a:noFill/>
        </a:ln>
        <a:effectLst/>
      </c:spPr>
    </c:title>
    <c:autoTitleDeleted val="0"/>
    <c:plotArea>
      <c:layout/>
      <c:pieChart>
        <c:varyColors val="1"/>
        <c:ser>
          <c:idx val="0"/>
          <c:order val="0"/>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dLbl>
              <c:idx val="0"/>
              <c:layout>
                <c:manualLayout>
                  <c:x val="-0.170127991851309"/>
                  <c:y val="0.0229858944816109"/>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835.07万元</a:t>
                    </a:r>
                  </a:p>
                </c:rich>
              </c:tx>
              <c:dLblPos val="bestFit"/>
              <c:showLegendKey val="0"/>
              <c:showVal val="1"/>
              <c:showCatName val="0"/>
              <c:showSerName val="0"/>
              <c:showPercent val="0"/>
              <c:showBubbleSize val="0"/>
              <c:extLst>
                <c:ext xmlns:c15="http://schemas.microsoft.com/office/drawing/2012/chart" uri="{CE6537A1-D6FC-4f65-9D91-7224C49458BB}">
                  <c15:layout/>
                </c:ext>
              </c:extLst>
            </c:dLbl>
            <c:dLbl>
              <c:idx val="1"/>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lumMod val="75000"/>
                            <a:lumOff val="25000"/>
                          </a:schemeClr>
                        </a:solidFill>
                        <a:latin typeface="+mn-lt"/>
                        <a:ea typeface="+mn-ea"/>
                        <a:cs typeface="+mn-cs"/>
                      </a:defRPr>
                    </a:pPr>
                    <a:r>
                      <a:t>732.82万元</a:t>
                    </a:r>
                  </a:p>
                </c:rich>
              </c:tx>
              <c:dLblPos val="bestFi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[绘图.xlsx]Sheet1!$E$26:$F$26</c:f>
              <c:strCache>
                <c:ptCount val="2"/>
                <c:pt idx="0">
                  <c:v>基本支出</c:v>
                </c:pt>
                <c:pt idx="1">
                  <c:v>项目支出</c:v>
                </c:pt>
              </c:strCache>
            </c:strRef>
          </c:cat>
          <c:val>
            <c:numRef>
              <c:f>[绘图.xlsx]Sheet1!$E$27:$F$27</c:f>
              <c:numCache>
                <c:formatCode>General</c:formatCode>
                <c:ptCount val="2"/>
                <c:pt idx="0">
                  <c:v>835.07</c:v>
                </c:pt>
                <c:pt idx="1">
                  <c:v>732.82</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0"/>
    </a:gra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1008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lt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r="http://schemas.openxmlformats.org/officeDocument/2006/relationships" xmlns:w="http://schemas.openxmlformats.org/wordprocessingml/2006/main" xmlns:w15="http://schemas.microsoft.com/office/word/2012/wordml" xmlns:m="http://schemas.openxmlformats.org/officeDocument/2006/math" xmlns:w14="http://schemas.microsoft.com/office/word/2010/wordml"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57559B6-2DC7-41B5-818F-6E7F243775C0}">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30</Pages>
  <Words>12401</Words>
  <Characters>13730</Characters>
  <Lines>1</Lines>
  <Paragraphs>1</Paragraphs>
  <TotalTime>14</TotalTime>
  <ScaleCrop>false</ScaleCrop>
  <LinksUpToDate>false</LinksUpToDate>
  <CharactersWithSpaces>14065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2022-03-23T12:40:00Z</dcterms:created>
  <dc:creator>Administrator</dc:creator>
  <cp:lastModifiedBy>蘇楊A.D.T.O.Y.</cp:lastModifiedBy>
  <cp:lastPrinted>2021-04-16T00:45:00Z</cp:lastPrinted>
  <dcterms:modified xsi:type="dcterms:W3CDTF">2024-08-22T01:33:25Z</dcterms:modified>
  <dc:title>××年度××部门/单位</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3D1D3576B53C43C0A3DB57C87934330E_12</vt:lpwstr>
  </property>
</Properties>
</file>