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781E2">
      <w:pPr>
        <w:pStyle w:val="13"/>
      </w:pPr>
    </w:p>
    <w:p w14:paraId="673831E8">
      <w:pPr>
        <w:ind w:firstLine="0" w:firstLineChars="0"/>
        <w:jc w:val="center"/>
        <w:rPr>
          <w:rFonts w:cs="仿宋_GB2312"/>
          <w:b/>
          <w:szCs w:val="30"/>
        </w:rPr>
      </w:pPr>
    </w:p>
    <w:p w14:paraId="1EBE322E">
      <w:pPr>
        <w:ind w:firstLine="0" w:firstLineChars="0"/>
        <w:jc w:val="center"/>
        <w:rPr>
          <w:rFonts w:cs="仿宋_GB2312"/>
          <w:b/>
          <w:szCs w:val="30"/>
        </w:rPr>
      </w:pPr>
    </w:p>
    <w:p w14:paraId="269C1FC8">
      <w:pPr>
        <w:ind w:firstLine="0" w:firstLineChars="0"/>
        <w:jc w:val="center"/>
        <w:rPr>
          <w:rFonts w:cs="仿宋_GB2312"/>
          <w:b/>
          <w:szCs w:val="30"/>
        </w:rPr>
      </w:pPr>
    </w:p>
    <w:p w14:paraId="71E92576">
      <w:pPr>
        <w:ind w:firstLine="0" w:firstLineChars="0"/>
        <w:jc w:val="both"/>
        <w:rPr>
          <w:rFonts w:cs="仿宋_GB2312"/>
          <w:b/>
          <w:szCs w:val="30"/>
        </w:rPr>
      </w:pPr>
    </w:p>
    <w:p w14:paraId="3BA1C7E9">
      <w:pPr>
        <w:ind w:firstLine="0" w:firstLineChars="0"/>
        <w:jc w:val="center"/>
        <w:rPr>
          <w:rFonts w:eastAsia="黑体" w:cs="黑体"/>
          <w:bCs/>
          <w:sz w:val="48"/>
          <w:szCs w:val="48"/>
        </w:rPr>
      </w:pPr>
      <w:bookmarkStart w:id="0" w:name="_Hlk79056751"/>
      <w:r>
        <w:rPr>
          <w:rFonts w:hint="eastAsia" w:eastAsia="黑体" w:cs="黑体"/>
          <w:bCs/>
          <w:sz w:val="48"/>
          <w:szCs w:val="48"/>
        </w:rPr>
        <w:t>办案（业务）经费绩效评价报告</w:t>
      </w:r>
    </w:p>
    <w:bookmarkEnd w:id="0"/>
    <w:p w14:paraId="32BDD8AB">
      <w:pPr>
        <w:ind w:firstLine="0" w:firstLineChars="0"/>
        <w:jc w:val="center"/>
        <w:rPr>
          <w:rFonts w:ascii="新宋体" w:hAnsi="新宋体" w:eastAsia="新宋体" w:cs="新宋体"/>
          <w:kern w:val="0"/>
          <w:sz w:val="32"/>
          <w:szCs w:val="32"/>
          <w:lang w:bidi="ar"/>
        </w:rPr>
      </w:pPr>
    </w:p>
    <w:p w14:paraId="26D19BED">
      <w:pPr>
        <w:pStyle w:val="9"/>
        <w:ind w:firstLine="600"/>
      </w:pPr>
    </w:p>
    <w:p w14:paraId="19516E8D">
      <w:pPr>
        <w:ind w:firstLine="0" w:firstLineChars="0"/>
        <w:jc w:val="left"/>
        <w:rPr>
          <w:rFonts w:cs="仿宋_GB2312"/>
          <w:sz w:val="36"/>
          <w:szCs w:val="36"/>
        </w:rPr>
      </w:pPr>
    </w:p>
    <w:p w14:paraId="04B08621">
      <w:pPr>
        <w:ind w:firstLine="0" w:firstLineChars="0"/>
        <w:jc w:val="left"/>
        <w:rPr>
          <w:rFonts w:cs="仿宋_GB2312"/>
          <w:sz w:val="36"/>
          <w:szCs w:val="36"/>
        </w:rPr>
      </w:pPr>
    </w:p>
    <w:p w14:paraId="25FECA6A">
      <w:pPr>
        <w:pStyle w:val="9"/>
        <w:ind w:firstLine="600"/>
      </w:pPr>
    </w:p>
    <w:p w14:paraId="7536622F">
      <w:pPr>
        <w:pStyle w:val="9"/>
        <w:ind w:firstLine="600"/>
      </w:pPr>
    </w:p>
    <w:p w14:paraId="0B79EFEA">
      <w:pPr>
        <w:pStyle w:val="9"/>
        <w:ind w:firstLine="600"/>
      </w:pPr>
    </w:p>
    <w:p w14:paraId="7ED3BCF7">
      <w:pPr>
        <w:pStyle w:val="9"/>
        <w:ind w:firstLine="600"/>
      </w:pPr>
    </w:p>
    <w:p w14:paraId="7727851D">
      <w:pPr>
        <w:ind w:firstLine="0" w:firstLineChars="0"/>
        <w:jc w:val="left"/>
        <w:rPr>
          <w:rFonts w:cs="仿宋_GB2312"/>
          <w:sz w:val="36"/>
          <w:szCs w:val="36"/>
        </w:rPr>
      </w:pPr>
    </w:p>
    <w:p w14:paraId="019A1559">
      <w:pPr>
        <w:ind w:firstLine="0" w:firstLineChars="0"/>
        <w:jc w:val="left"/>
        <w:rPr>
          <w:rFonts w:cs="仿宋_GB2312"/>
          <w:sz w:val="36"/>
          <w:szCs w:val="36"/>
        </w:rPr>
      </w:pPr>
    </w:p>
    <w:p w14:paraId="6625CE0F">
      <w:pPr>
        <w:ind w:left="566" w:leftChars="177" w:firstLine="0" w:firstLineChars="0"/>
        <w:rPr>
          <w:rFonts w:hint="eastAsia" w:eastAsia="黑体" w:cs="黑体"/>
          <w:bCs/>
          <w:sz w:val="36"/>
          <w:szCs w:val="36"/>
          <w:lang w:val="zh-CN"/>
        </w:rPr>
      </w:pPr>
      <w:r>
        <w:rPr>
          <w:rFonts w:hint="eastAsia" w:eastAsia="黑体" w:cs="黑体"/>
          <w:bCs/>
          <w:sz w:val="36"/>
          <w:szCs w:val="36"/>
          <w:lang w:val="zh-CN"/>
        </w:rPr>
        <w:t xml:space="preserve">项目名称： 办案（业务）经费项目 </w:t>
      </w:r>
    </w:p>
    <w:p w14:paraId="3AA76904">
      <w:pPr>
        <w:ind w:left="566" w:leftChars="177" w:firstLine="0" w:firstLineChars="0"/>
        <w:rPr>
          <w:rFonts w:eastAsia="黑体" w:cs="黑体"/>
          <w:sz w:val="36"/>
          <w:szCs w:val="36"/>
        </w:rPr>
      </w:pPr>
      <w:r>
        <w:rPr>
          <w:rFonts w:hint="eastAsia" w:eastAsia="黑体" w:cs="黑体"/>
          <w:bCs/>
          <w:sz w:val="36"/>
          <w:szCs w:val="36"/>
          <w:lang w:val="zh-CN"/>
        </w:rPr>
        <w:t xml:space="preserve">实施单位： 杭锦旗人民检察院   </w:t>
      </w:r>
    </w:p>
    <w:p w14:paraId="4F36FAB3">
      <w:pPr>
        <w:ind w:left="566" w:leftChars="177" w:firstLine="0" w:firstLineChars="0"/>
        <w:rPr>
          <w:rFonts w:eastAsia="黑体" w:cs="黑体"/>
          <w:bCs/>
          <w:szCs w:val="32"/>
        </w:rPr>
      </w:pPr>
    </w:p>
    <w:p w14:paraId="48639D17">
      <w:pPr>
        <w:ind w:firstLine="0" w:firstLineChars="0"/>
        <w:jc w:val="center"/>
        <w:rPr>
          <w:rFonts w:eastAsia="黑体" w:cs="黑体"/>
          <w:bCs/>
          <w:szCs w:val="32"/>
          <w:lang w:val="zh-CN"/>
        </w:rPr>
      </w:pPr>
    </w:p>
    <w:p w14:paraId="405C1F76">
      <w:pPr>
        <w:ind w:firstLine="0" w:firstLineChars="0"/>
        <w:jc w:val="center"/>
        <w:rPr>
          <w:rFonts w:eastAsia="黑体" w:cs="黑体"/>
          <w:bCs/>
          <w:sz w:val="32"/>
          <w:szCs w:val="32"/>
        </w:rPr>
      </w:pPr>
      <w:r>
        <w:rPr>
          <w:rFonts w:hint="eastAsia" w:eastAsia="黑体" w:cs="黑体"/>
          <w:bCs/>
          <w:sz w:val="32"/>
          <w:szCs w:val="32"/>
          <w:lang w:val="zh-CN"/>
        </w:rPr>
        <w:t>20</w:t>
      </w:r>
      <w:r>
        <w:rPr>
          <w:rFonts w:hint="eastAsia" w:eastAsia="黑体" w:cs="黑体"/>
          <w:bCs/>
          <w:sz w:val="32"/>
          <w:szCs w:val="32"/>
        </w:rPr>
        <w:t>2</w:t>
      </w:r>
      <w:r>
        <w:rPr>
          <w:rFonts w:hint="eastAsia" w:eastAsia="黑体" w:cs="黑体"/>
          <w:bCs/>
          <w:sz w:val="32"/>
          <w:szCs w:val="32"/>
          <w:lang w:val="en-US" w:eastAsia="zh-CN"/>
        </w:rPr>
        <w:t>5</w:t>
      </w:r>
      <w:r>
        <w:rPr>
          <w:rFonts w:hint="eastAsia" w:eastAsia="黑体" w:cs="黑体"/>
          <w:bCs/>
          <w:sz w:val="32"/>
          <w:szCs w:val="32"/>
          <w:lang w:val="zh-CN"/>
        </w:rPr>
        <w:t>年</w:t>
      </w:r>
      <w:r>
        <w:rPr>
          <w:rFonts w:hint="eastAsia" w:eastAsia="黑体" w:cs="黑体"/>
          <w:bCs/>
          <w:sz w:val="32"/>
          <w:szCs w:val="32"/>
          <w:lang w:val="en-US" w:eastAsia="zh-CN"/>
        </w:rPr>
        <w:t>2</w:t>
      </w:r>
      <w:r>
        <w:rPr>
          <w:rFonts w:hint="eastAsia" w:eastAsia="黑体" w:cs="黑体"/>
          <w:bCs/>
          <w:sz w:val="32"/>
          <w:szCs w:val="32"/>
        </w:rPr>
        <w:t>月</w:t>
      </w:r>
    </w:p>
    <w:p w14:paraId="17F0C0E0">
      <w:pPr>
        <w:widowControl/>
        <w:adjustRightInd/>
        <w:snapToGrid/>
        <w:spacing w:line="240" w:lineRule="auto"/>
        <w:ind w:firstLine="0" w:firstLineChars="0"/>
        <w:jc w:val="left"/>
        <w:rPr>
          <w:rFonts w:eastAsia="黑体" w:cs="黑体"/>
          <w:bCs/>
          <w:szCs w:val="32"/>
        </w:rPr>
      </w:pPr>
      <w:r>
        <w:rPr>
          <w:rFonts w:eastAsia="黑体" w:cs="黑体"/>
          <w:bCs/>
          <w:szCs w:val="32"/>
        </w:rPr>
        <w:br w:type="page"/>
      </w:r>
    </w:p>
    <w:sdt>
      <w:sdtPr>
        <w:rPr>
          <w:rFonts w:hint="eastAsia" w:eastAsia="黑体" w:cs="黑体"/>
          <w:sz w:val="32"/>
          <w:szCs w:val="32"/>
        </w:rPr>
        <w:id w:val="147480848"/>
        <w15:color w:val="DBDBDB"/>
        <w:docPartObj>
          <w:docPartGallery w:val="Table of Contents"/>
          <w:docPartUnique/>
        </w:docPartObj>
      </w:sdtPr>
      <w:sdtEndPr>
        <w:rPr>
          <w:rFonts w:hint="eastAsia" w:eastAsia="仿宋_GB2312" w:cs="仿宋_GB2312"/>
          <w:b/>
          <w:sz w:val="30"/>
          <w:szCs w:val="30"/>
        </w:rPr>
      </w:sdtEndPr>
      <w:sdtContent>
        <w:p w14:paraId="27B93D13">
          <w:pPr>
            <w:spacing w:line="480" w:lineRule="auto"/>
            <w:ind w:firstLine="0" w:firstLineChars="0"/>
            <w:jc w:val="center"/>
            <w:rPr>
              <w:rFonts w:eastAsia="黑体" w:cs="黑体"/>
              <w:sz w:val="32"/>
              <w:szCs w:val="32"/>
            </w:rPr>
          </w:pPr>
          <w:r>
            <w:rPr>
              <w:rFonts w:hint="eastAsia" w:eastAsia="黑体" w:cs="黑体"/>
              <w:sz w:val="32"/>
              <w:szCs w:val="32"/>
            </w:rPr>
            <w:t>目  录</w:t>
          </w:r>
        </w:p>
        <w:p w14:paraId="7CE4EB9A">
          <w:pPr>
            <w:pStyle w:val="18"/>
            <w:tabs>
              <w:tab w:val="right" w:leader="dot" w:pos="8732"/>
            </w:tabs>
          </w:pPr>
          <w:r>
            <w:fldChar w:fldCharType="begin"/>
          </w:r>
          <w:r>
            <w:instrText xml:space="preserve">TOC \o "1-2" \h \u </w:instrText>
          </w:r>
          <w:r>
            <w:fldChar w:fldCharType="separate"/>
          </w:r>
          <w:r>
            <w:fldChar w:fldCharType="begin"/>
          </w:r>
          <w:r>
            <w:instrText xml:space="preserve"> HYPERLINK \l _Toc24160 </w:instrText>
          </w:r>
          <w:r>
            <w:fldChar w:fldCharType="separate"/>
          </w:r>
          <w:r>
            <w:rPr>
              <w:rFonts w:hint="eastAsia" w:eastAsia="黑体" w:cs="黑体"/>
              <w:kern w:val="0"/>
              <w:szCs w:val="32"/>
              <w:lang w:bidi="ar"/>
            </w:rPr>
            <w:t>一、项目概述</w:t>
          </w:r>
          <w:r>
            <w:tab/>
          </w:r>
          <w:r>
            <w:fldChar w:fldCharType="begin"/>
          </w:r>
          <w:r>
            <w:instrText xml:space="preserve"> PAGEREF _Toc24160 \h </w:instrText>
          </w:r>
          <w:r>
            <w:fldChar w:fldCharType="separate"/>
          </w:r>
          <w:r>
            <w:t>1</w:t>
          </w:r>
          <w:r>
            <w:fldChar w:fldCharType="end"/>
          </w:r>
          <w:r>
            <w:fldChar w:fldCharType="end"/>
          </w:r>
        </w:p>
        <w:p w14:paraId="558C656B">
          <w:pPr>
            <w:pStyle w:val="19"/>
            <w:tabs>
              <w:tab w:val="right" w:leader="dot" w:pos="8732"/>
              <w:tab w:val="clear" w:pos="9016"/>
            </w:tabs>
          </w:pPr>
          <w:r>
            <w:fldChar w:fldCharType="begin"/>
          </w:r>
          <w:r>
            <w:instrText xml:space="preserve"> HYPERLINK \l _Toc21272 </w:instrText>
          </w:r>
          <w:r>
            <w:fldChar w:fldCharType="separate"/>
          </w:r>
          <w:r>
            <w:rPr>
              <w:rFonts w:hint="eastAsia" w:eastAsia="楷体" w:cs="楷体"/>
              <w:kern w:val="0"/>
              <w:szCs w:val="32"/>
              <w:lang w:bidi="ar"/>
            </w:rPr>
            <w:t>（一）项目基本概况</w:t>
          </w:r>
          <w:r>
            <w:tab/>
          </w:r>
          <w:r>
            <w:fldChar w:fldCharType="begin"/>
          </w:r>
          <w:r>
            <w:instrText xml:space="preserve"> PAGEREF _Toc21272 \h </w:instrText>
          </w:r>
          <w:r>
            <w:fldChar w:fldCharType="separate"/>
          </w:r>
          <w:r>
            <w:t>1</w:t>
          </w:r>
          <w:r>
            <w:fldChar w:fldCharType="end"/>
          </w:r>
          <w:r>
            <w:fldChar w:fldCharType="end"/>
          </w:r>
        </w:p>
        <w:p w14:paraId="583F9B27">
          <w:pPr>
            <w:pStyle w:val="19"/>
            <w:tabs>
              <w:tab w:val="right" w:leader="dot" w:pos="8732"/>
              <w:tab w:val="clear" w:pos="9016"/>
            </w:tabs>
          </w:pPr>
          <w:r>
            <w:fldChar w:fldCharType="begin"/>
          </w:r>
          <w:r>
            <w:instrText xml:space="preserve"> HYPERLINK \l _Toc20363 </w:instrText>
          </w:r>
          <w:r>
            <w:fldChar w:fldCharType="separate"/>
          </w:r>
          <w:r>
            <w:rPr>
              <w:rFonts w:hint="eastAsia" w:eastAsia="楷体" w:cs="楷体"/>
              <w:kern w:val="0"/>
              <w:szCs w:val="32"/>
              <w:lang w:bidi="ar"/>
            </w:rPr>
            <w:t>（二）项目</w:t>
          </w:r>
          <w:r>
            <w:rPr>
              <w:rFonts w:hint="eastAsia" w:eastAsia="楷体" w:cs="楷体"/>
              <w:kern w:val="0"/>
              <w:szCs w:val="32"/>
              <w:lang w:val="en-US" w:eastAsia="zh-CN" w:bidi="ar"/>
            </w:rPr>
            <w:t>绩效</w:t>
          </w:r>
          <w:r>
            <w:rPr>
              <w:rFonts w:hint="eastAsia" w:eastAsia="楷体" w:cs="楷体"/>
              <w:kern w:val="0"/>
              <w:szCs w:val="32"/>
              <w:lang w:bidi="ar"/>
            </w:rPr>
            <w:t>目标</w:t>
          </w:r>
          <w:r>
            <w:tab/>
          </w:r>
          <w:r>
            <w:fldChar w:fldCharType="begin"/>
          </w:r>
          <w:r>
            <w:instrText xml:space="preserve"> PAGEREF _Toc20363 \h </w:instrText>
          </w:r>
          <w:r>
            <w:fldChar w:fldCharType="separate"/>
          </w:r>
          <w:r>
            <w:t>2</w:t>
          </w:r>
          <w:r>
            <w:fldChar w:fldCharType="end"/>
          </w:r>
          <w:r>
            <w:fldChar w:fldCharType="end"/>
          </w:r>
        </w:p>
        <w:p w14:paraId="2411A288">
          <w:pPr>
            <w:pStyle w:val="18"/>
            <w:tabs>
              <w:tab w:val="right" w:leader="dot" w:pos="8732"/>
            </w:tabs>
          </w:pPr>
          <w:r>
            <w:fldChar w:fldCharType="begin"/>
          </w:r>
          <w:r>
            <w:instrText xml:space="preserve"> HYPERLINK \l _Toc8910 </w:instrText>
          </w:r>
          <w:r>
            <w:fldChar w:fldCharType="separate"/>
          </w:r>
          <w:r>
            <w:rPr>
              <w:rFonts w:hint="eastAsia" w:eastAsia="黑体" w:cs="黑体"/>
              <w:kern w:val="0"/>
              <w:szCs w:val="32"/>
              <w:lang w:bidi="ar"/>
            </w:rPr>
            <w:t>二、绩效评价工作开展情况</w:t>
          </w:r>
          <w:r>
            <w:tab/>
          </w:r>
          <w:r>
            <w:fldChar w:fldCharType="begin"/>
          </w:r>
          <w:r>
            <w:instrText xml:space="preserve"> PAGEREF _Toc8910 \h </w:instrText>
          </w:r>
          <w:r>
            <w:fldChar w:fldCharType="separate"/>
          </w:r>
          <w:r>
            <w:t>2</w:t>
          </w:r>
          <w:r>
            <w:fldChar w:fldCharType="end"/>
          </w:r>
          <w:r>
            <w:fldChar w:fldCharType="end"/>
          </w:r>
        </w:p>
        <w:p w14:paraId="62A39BFE">
          <w:pPr>
            <w:pStyle w:val="19"/>
            <w:tabs>
              <w:tab w:val="right" w:leader="dot" w:pos="8732"/>
              <w:tab w:val="clear" w:pos="9016"/>
            </w:tabs>
          </w:pPr>
          <w:r>
            <w:fldChar w:fldCharType="begin"/>
          </w:r>
          <w:r>
            <w:instrText xml:space="preserve"> HYPERLINK \l _Toc1501 </w:instrText>
          </w:r>
          <w:r>
            <w:fldChar w:fldCharType="separate"/>
          </w:r>
          <w:r>
            <w:rPr>
              <w:rFonts w:hint="eastAsia" w:eastAsia="楷体" w:cs="楷体"/>
              <w:kern w:val="0"/>
              <w:szCs w:val="32"/>
              <w:lang w:bidi="ar"/>
            </w:rPr>
            <w:t>（一）绩效评价目的、对象和范围</w:t>
          </w:r>
          <w:r>
            <w:tab/>
          </w:r>
          <w:r>
            <w:fldChar w:fldCharType="begin"/>
          </w:r>
          <w:r>
            <w:instrText xml:space="preserve"> PAGEREF _Toc1501 \h </w:instrText>
          </w:r>
          <w:r>
            <w:fldChar w:fldCharType="separate"/>
          </w:r>
          <w:r>
            <w:t>2</w:t>
          </w:r>
          <w:r>
            <w:fldChar w:fldCharType="end"/>
          </w:r>
          <w:r>
            <w:fldChar w:fldCharType="end"/>
          </w:r>
        </w:p>
        <w:p w14:paraId="7E14CCFB">
          <w:pPr>
            <w:pStyle w:val="19"/>
            <w:tabs>
              <w:tab w:val="right" w:leader="dot" w:pos="8732"/>
              <w:tab w:val="clear" w:pos="9016"/>
            </w:tabs>
          </w:pPr>
          <w:r>
            <w:fldChar w:fldCharType="begin"/>
          </w:r>
          <w:r>
            <w:instrText xml:space="preserve"> HYPERLINK \l _Toc25117 </w:instrText>
          </w:r>
          <w:r>
            <w:fldChar w:fldCharType="separate"/>
          </w:r>
          <w:r>
            <w:rPr>
              <w:rFonts w:hint="eastAsia" w:eastAsia="楷体" w:cs="楷体"/>
              <w:kern w:val="0"/>
              <w:szCs w:val="32"/>
              <w:lang w:bidi="ar"/>
            </w:rPr>
            <w:t>（二）绩效评价原则与方法</w:t>
          </w:r>
          <w:r>
            <w:tab/>
          </w:r>
          <w:r>
            <w:fldChar w:fldCharType="begin"/>
          </w:r>
          <w:r>
            <w:instrText xml:space="preserve"> PAGEREF _Toc25117 \h </w:instrText>
          </w:r>
          <w:r>
            <w:fldChar w:fldCharType="separate"/>
          </w:r>
          <w:r>
            <w:t>4</w:t>
          </w:r>
          <w:r>
            <w:fldChar w:fldCharType="end"/>
          </w:r>
          <w:r>
            <w:fldChar w:fldCharType="end"/>
          </w:r>
        </w:p>
        <w:p w14:paraId="407D33D3">
          <w:pPr>
            <w:pStyle w:val="19"/>
            <w:tabs>
              <w:tab w:val="right" w:leader="dot" w:pos="8732"/>
              <w:tab w:val="clear" w:pos="9016"/>
            </w:tabs>
          </w:pPr>
          <w:r>
            <w:fldChar w:fldCharType="begin"/>
          </w:r>
          <w:r>
            <w:instrText xml:space="preserve"> HYPERLINK \l _Toc10564 </w:instrText>
          </w:r>
          <w:r>
            <w:fldChar w:fldCharType="separate"/>
          </w:r>
          <w:r>
            <w:rPr>
              <w:rFonts w:hint="eastAsia" w:eastAsia="楷体" w:cs="楷体"/>
              <w:kern w:val="0"/>
              <w:szCs w:val="32"/>
              <w:lang w:bidi="ar"/>
            </w:rPr>
            <w:t>（三）绩效评价思路及指标体系</w:t>
          </w:r>
          <w:r>
            <w:tab/>
          </w:r>
          <w:r>
            <w:fldChar w:fldCharType="begin"/>
          </w:r>
          <w:r>
            <w:instrText xml:space="preserve"> PAGEREF _Toc10564 \h </w:instrText>
          </w:r>
          <w:r>
            <w:fldChar w:fldCharType="separate"/>
          </w:r>
          <w:r>
            <w:t>6</w:t>
          </w:r>
          <w:r>
            <w:fldChar w:fldCharType="end"/>
          </w:r>
          <w:r>
            <w:fldChar w:fldCharType="end"/>
          </w:r>
        </w:p>
        <w:p w14:paraId="0BF1A940">
          <w:pPr>
            <w:pStyle w:val="19"/>
            <w:tabs>
              <w:tab w:val="right" w:leader="dot" w:pos="8732"/>
              <w:tab w:val="clear" w:pos="9016"/>
            </w:tabs>
          </w:pPr>
          <w:r>
            <w:fldChar w:fldCharType="begin"/>
          </w:r>
          <w:r>
            <w:instrText xml:space="preserve"> HYPERLINK \l _Toc15238 </w:instrText>
          </w:r>
          <w:r>
            <w:fldChar w:fldCharType="separate"/>
          </w:r>
          <w:r>
            <w:rPr>
              <w:rFonts w:hint="eastAsia" w:eastAsia="楷体" w:cs="楷体"/>
              <w:kern w:val="0"/>
              <w:szCs w:val="32"/>
              <w:lang w:bidi="ar"/>
            </w:rPr>
            <w:t>（四）绩效评价工作过程</w:t>
          </w:r>
          <w:r>
            <w:tab/>
          </w:r>
          <w:r>
            <w:fldChar w:fldCharType="begin"/>
          </w:r>
          <w:r>
            <w:instrText xml:space="preserve"> PAGEREF _Toc15238 \h </w:instrText>
          </w:r>
          <w:r>
            <w:fldChar w:fldCharType="separate"/>
          </w:r>
          <w:r>
            <w:t>8</w:t>
          </w:r>
          <w:r>
            <w:fldChar w:fldCharType="end"/>
          </w:r>
          <w:r>
            <w:fldChar w:fldCharType="end"/>
          </w:r>
        </w:p>
        <w:p w14:paraId="4C460378">
          <w:pPr>
            <w:pStyle w:val="18"/>
            <w:tabs>
              <w:tab w:val="right" w:leader="dot" w:pos="8732"/>
            </w:tabs>
          </w:pPr>
          <w:r>
            <w:fldChar w:fldCharType="begin"/>
          </w:r>
          <w:r>
            <w:instrText xml:space="preserve"> HYPERLINK \l _Toc6986 </w:instrText>
          </w:r>
          <w:r>
            <w:fldChar w:fldCharType="separate"/>
          </w:r>
          <w:r>
            <w:rPr>
              <w:rFonts w:hint="eastAsia" w:eastAsia="黑体" w:cs="黑体"/>
              <w:kern w:val="0"/>
              <w:szCs w:val="32"/>
              <w:lang w:bidi="ar"/>
            </w:rPr>
            <w:t>三、综合评价情况及评价结论</w:t>
          </w:r>
          <w:r>
            <w:tab/>
          </w:r>
          <w:r>
            <w:fldChar w:fldCharType="begin"/>
          </w:r>
          <w:r>
            <w:instrText xml:space="preserve"> PAGEREF _Toc6986 \h </w:instrText>
          </w:r>
          <w:r>
            <w:fldChar w:fldCharType="separate"/>
          </w:r>
          <w:r>
            <w:t>10</w:t>
          </w:r>
          <w:r>
            <w:fldChar w:fldCharType="end"/>
          </w:r>
          <w:r>
            <w:fldChar w:fldCharType="end"/>
          </w:r>
        </w:p>
        <w:p w14:paraId="56843247">
          <w:pPr>
            <w:pStyle w:val="19"/>
            <w:tabs>
              <w:tab w:val="right" w:leader="dot" w:pos="8732"/>
              <w:tab w:val="clear" w:pos="9016"/>
            </w:tabs>
          </w:pPr>
          <w:r>
            <w:fldChar w:fldCharType="begin"/>
          </w:r>
          <w:r>
            <w:instrText xml:space="preserve"> HYPERLINK \l _Toc3924 </w:instrText>
          </w:r>
          <w:r>
            <w:fldChar w:fldCharType="separate"/>
          </w:r>
          <w:r>
            <w:rPr>
              <w:rFonts w:hint="eastAsia" w:eastAsia="楷体" w:cs="楷体"/>
              <w:kern w:val="0"/>
              <w:szCs w:val="32"/>
              <w:lang w:bidi="ar"/>
            </w:rPr>
            <w:t>（一）综合评价结论</w:t>
          </w:r>
          <w:r>
            <w:tab/>
          </w:r>
          <w:r>
            <w:fldChar w:fldCharType="begin"/>
          </w:r>
          <w:r>
            <w:instrText xml:space="preserve"> PAGEREF _Toc3924 \h </w:instrText>
          </w:r>
          <w:r>
            <w:fldChar w:fldCharType="separate"/>
          </w:r>
          <w:r>
            <w:t>10</w:t>
          </w:r>
          <w:r>
            <w:fldChar w:fldCharType="end"/>
          </w:r>
          <w:r>
            <w:fldChar w:fldCharType="end"/>
          </w:r>
        </w:p>
        <w:p w14:paraId="7D30AADA">
          <w:pPr>
            <w:pStyle w:val="19"/>
            <w:tabs>
              <w:tab w:val="right" w:leader="dot" w:pos="8732"/>
              <w:tab w:val="clear" w:pos="9016"/>
            </w:tabs>
          </w:pPr>
          <w:r>
            <w:fldChar w:fldCharType="begin"/>
          </w:r>
          <w:r>
            <w:instrText xml:space="preserve"> HYPERLINK \l _Toc13416 </w:instrText>
          </w:r>
          <w:r>
            <w:fldChar w:fldCharType="separate"/>
          </w:r>
          <w:r>
            <w:rPr>
              <w:rFonts w:hint="eastAsia" w:eastAsia="楷体" w:cs="楷体"/>
              <w:kern w:val="0"/>
              <w:szCs w:val="32"/>
              <w:lang w:bidi="ar"/>
            </w:rPr>
            <w:t>（二）综合评价意见</w:t>
          </w:r>
          <w:r>
            <w:tab/>
          </w:r>
          <w:r>
            <w:fldChar w:fldCharType="begin"/>
          </w:r>
          <w:r>
            <w:instrText xml:space="preserve"> PAGEREF _Toc13416 \h </w:instrText>
          </w:r>
          <w:r>
            <w:fldChar w:fldCharType="separate"/>
          </w:r>
          <w:r>
            <w:t>10</w:t>
          </w:r>
          <w:r>
            <w:fldChar w:fldCharType="end"/>
          </w:r>
          <w:r>
            <w:fldChar w:fldCharType="end"/>
          </w:r>
        </w:p>
        <w:p w14:paraId="08B321BA">
          <w:pPr>
            <w:pStyle w:val="18"/>
            <w:tabs>
              <w:tab w:val="right" w:leader="dot" w:pos="8732"/>
            </w:tabs>
          </w:pPr>
          <w:r>
            <w:fldChar w:fldCharType="begin"/>
          </w:r>
          <w:r>
            <w:instrText xml:space="preserve"> HYPERLINK \l _Toc20488 </w:instrText>
          </w:r>
          <w:r>
            <w:fldChar w:fldCharType="separate"/>
          </w:r>
          <w:r>
            <w:rPr>
              <w:rFonts w:hint="eastAsia" w:eastAsia="黑体" w:cs="黑体"/>
              <w:kern w:val="0"/>
              <w:szCs w:val="32"/>
              <w:lang w:bidi="ar"/>
            </w:rPr>
            <w:t>四、绩效评价指标分析</w:t>
          </w:r>
          <w:r>
            <w:tab/>
          </w:r>
          <w:r>
            <w:fldChar w:fldCharType="begin"/>
          </w:r>
          <w:r>
            <w:instrText xml:space="preserve"> PAGEREF _Toc20488 \h </w:instrText>
          </w:r>
          <w:r>
            <w:fldChar w:fldCharType="separate"/>
          </w:r>
          <w:r>
            <w:t>12</w:t>
          </w:r>
          <w:r>
            <w:fldChar w:fldCharType="end"/>
          </w:r>
          <w:r>
            <w:fldChar w:fldCharType="end"/>
          </w:r>
        </w:p>
        <w:p w14:paraId="49274D3E">
          <w:pPr>
            <w:pStyle w:val="19"/>
            <w:tabs>
              <w:tab w:val="right" w:leader="dot" w:pos="8732"/>
              <w:tab w:val="clear" w:pos="9016"/>
            </w:tabs>
          </w:pPr>
          <w:r>
            <w:fldChar w:fldCharType="begin"/>
          </w:r>
          <w:r>
            <w:instrText xml:space="preserve"> HYPERLINK \l _Toc28991 </w:instrText>
          </w:r>
          <w:r>
            <w:fldChar w:fldCharType="separate"/>
          </w:r>
          <w:r>
            <w:rPr>
              <w:rFonts w:hint="eastAsia" w:eastAsia="楷体" w:cs="楷体"/>
              <w:kern w:val="0"/>
              <w:szCs w:val="32"/>
              <w:lang w:bidi="ar"/>
            </w:rPr>
            <w:t>（一）项目决策情况</w:t>
          </w:r>
          <w:r>
            <w:tab/>
          </w:r>
          <w:r>
            <w:fldChar w:fldCharType="begin"/>
          </w:r>
          <w:r>
            <w:instrText xml:space="preserve"> PAGEREF _Toc28991 \h </w:instrText>
          </w:r>
          <w:r>
            <w:fldChar w:fldCharType="separate"/>
          </w:r>
          <w:r>
            <w:t>12</w:t>
          </w:r>
          <w:r>
            <w:fldChar w:fldCharType="end"/>
          </w:r>
          <w:r>
            <w:fldChar w:fldCharType="end"/>
          </w:r>
        </w:p>
        <w:p w14:paraId="1F89CD92">
          <w:pPr>
            <w:pStyle w:val="19"/>
            <w:tabs>
              <w:tab w:val="right" w:leader="dot" w:pos="8732"/>
              <w:tab w:val="clear" w:pos="9016"/>
            </w:tabs>
          </w:pPr>
          <w:r>
            <w:fldChar w:fldCharType="begin"/>
          </w:r>
          <w:r>
            <w:instrText xml:space="preserve"> HYPERLINK \l _Toc13123 </w:instrText>
          </w:r>
          <w:r>
            <w:fldChar w:fldCharType="separate"/>
          </w:r>
          <w:r>
            <w:rPr>
              <w:rFonts w:hint="eastAsia" w:eastAsia="楷体" w:cs="楷体"/>
              <w:kern w:val="0"/>
              <w:szCs w:val="32"/>
              <w:lang w:bidi="ar"/>
            </w:rPr>
            <w:t>（二）项目过程情况</w:t>
          </w:r>
          <w:r>
            <w:tab/>
          </w:r>
          <w:r>
            <w:fldChar w:fldCharType="begin"/>
          </w:r>
          <w:r>
            <w:instrText xml:space="preserve"> PAGEREF _Toc13123 \h </w:instrText>
          </w:r>
          <w:r>
            <w:fldChar w:fldCharType="separate"/>
          </w:r>
          <w:r>
            <w:t>14</w:t>
          </w:r>
          <w:r>
            <w:fldChar w:fldCharType="end"/>
          </w:r>
          <w:r>
            <w:fldChar w:fldCharType="end"/>
          </w:r>
        </w:p>
        <w:p w14:paraId="4F3A8D47">
          <w:pPr>
            <w:pStyle w:val="19"/>
            <w:tabs>
              <w:tab w:val="right" w:leader="dot" w:pos="8732"/>
              <w:tab w:val="clear" w:pos="9016"/>
            </w:tabs>
          </w:pPr>
          <w:r>
            <w:fldChar w:fldCharType="begin"/>
          </w:r>
          <w:r>
            <w:instrText xml:space="preserve"> HYPERLINK \l _Toc13932 </w:instrText>
          </w:r>
          <w:r>
            <w:fldChar w:fldCharType="separate"/>
          </w:r>
          <w:r>
            <w:rPr>
              <w:rFonts w:hint="eastAsia" w:eastAsia="楷体" w:cs="楷体"/>
              <w:kern w:val="0"/>
              <w:szCs w:val="32"/>
              <w:lang w:bidi="ar"/>
            </w:rPr>
            <w:t>（三）项目产出情况</w:t>
          </w:r>
          <w:r>
            <w:tab/>
          </w:r>
          <w:r>
            <w:fldChar w:fldCharType="begin"/>
          </w:r>
          <w:r>
            <w:instrText xml:space="preserve"> PAGEREF _Toc13932 \h </w:instrText>
          </w:r>
          <w:r>
            <w:fldChar w:fldCharType="separate"/>
          </w:r>
          <w:r>
            <w:t>16</w:t>
          </w:r>
          <w:r>
            <w:fldChar w:fldCharType="end"/>
          </w:r>
          <w:r>
            <w:fldChar w:fldCharType="end"/>
          </w:r>
        </w:p>
        <w:p w14:paraId="2A41380A">
          <w:pPr>
            <w:pStyle w:val="19"/>
            <w:tabs>
              <w:tab w:val="right" w:leader="dot" w:pos="8732"/>
              <w:tab w:val="clear" w:pos="9016"/>
            </w:tabs>
          </w:pPr>
          <w:r>
            <w:fldChar w:fldCharType="begin"/>
          </w:r>
          <w:r>
            <w:instrText xml:space="preserve"> HYPERLINK \l _Toc25281 </w:instrText>
          </w:r>
          <w:r>
            <w:fldChar w:fldCharType="separate"/>
          </w:r>
          <w:r>
            <w:rPr>
              <w:rFonts w:hint="eastAsia" w:eastAsia="楷体" w:cs="楷体"/>
              <w:kern w:val="0"/>
              <w:szCs w:val="32"/>
              <w:lang w:bidi="ar"/>
            </w:rPr>
            <w:t>（四）项目效益情况</w:t>
          </w:r>
          <w:r>
            <w:tab/>
          </w:r>
          <w:r>
            <w:fldChar w:fldCharType="begin"/>
          </w:r>
          <w:r>
            <w:instrText xml:space="preserve"> PAGEREF _Toc25281 \h </w:instrText>
          </w:r>
          <w:r>
            <w:fldChar w:fldCharType="separate"/>
          </w:r>
          <w:r>
            <w:t>20</w:t>
          </w:r>
          <w:r>
            <w:fldChar w:fldCharType="end"/>
          </w:r>
          <w:r>
            <w:fldChar w:fldCharType="end"/>
          </w:r>
        </w:p>
        <w:p w14:paraId="56AA0630">
          <w:pPr>
            <w:pStyle w:val="18"/>
            <w:tabs>
              <w:tab w:val="right" w:leader="dot" w:pos="8732"/>
            </w:tabs>
          </w:pPr>
          <w:r>
            <w:fldChar w:fldCharType="begin"/>
          </w:r>
          <w:r>
            <w:instrText xml:space="preserve"> HYPERLINK \l _Toc18438 </w:instrText>
          </w:r>
          <w:r>
            <w:fldChar w:fldCharType="separate"/>
          </w:r>
          <w:r>
            <w:rPr>
              <w:rFonts w:hint="eastAsia" w:eastAsia="黑体" w:cs="黑体"/>
              <w:kern w:val="0"/>
              <w:szCs w:val="32"/>
              <w:lang w:bidi="ar"/>
            </w:rPr>
            <w:t>五、存在的问题及原因分析</w:t>
          </w:r>
          <w:r>
            <w:tab/>
          </w:r>
          <w:r>
            <w:fldChar w:fldCharType="begin"/>
          </w:r>
          <w:r>
            <w:instrText xml:space="preserve"> PAGEREF _Toc18438 \h </w:instrText>
          </w:r>
          <w:r>
            <w:fldChar w:fldCharType="separate"/>
          </w:r>
          <w:r>
            <w:t>23</w:t>
          </w:r>
          <w:r>
            <w:fldChar w:fldCharType="end"/>
          </w:r>
          <w:r>
            <w:fldChar w:fldCharType="end"/>
          </w:r>
        </w:p>
        <w:p w14:paraId="572F5BE2">
          <w:pPr>
            <w:pStyle w:val="19"/>
            <w:tabs>
              <w:tab w:val="right" w:leader="dot" w:pos="8732"/>
              <w:tab w:val="clear" w:pos="9016"/>
            </w:tabs>
          </w:pPr>
          <w:r>
            <w:fldChar w:fldCharType="begin"/>
          </w:r>
          <w:r>
            <w:instrText xml:space="preserve"> HYPERLINK \l _Toc30302 </w:instrText>
          </w:r>
          <w:r>
            <w:fldChar w:fldCharType="separate"/>
          </w:r>
          <w:r>
            <w:rPr>
              <w:rFonts w:hint="eastAsia" w:eastAsia="楷体" w:cs="楷体"/>
              <w:kern w:val="0"/>
              <w:szCs w:val="32"/>
              <w:lang w:bidi="ar"/>
            </w:rPr>
            <w:t>（一）</w:t>
          </w:r>
          <w:r>
            <w:rPr>
              <w:rFonts w:hint="eastAsia" w:eastAsia="楷体" w:cs="楷体"/>
              <w:kern w:val="0"/>
              <w:szCs w:val="32"/>
              <w:lang w:val="en-US" w:eastAsia="zh-CN" w:bidi="ar"/>
            </w:rPr>
            <w:t>绩效指标执行时与年初指标略有偏差</w:t>
          </w:r>
          <w:r>
            <w:tab/>
          </w:r>
          <w:r>
            <w:fldChar w:fldCharType="begin"/>
          </w:r>
          <w:r>
            <w:instrText xml:space="preserve"> PAGEREF _Toc30302 \h </w:instrText>
          </w:r>
          <w:r>
            <w:fldChar w:fldCharType="separate"/>
          </w:r>
          <w:r>
            <w:t>23</w:t>
          </w:r>
          <w:r>
            <w:fldChar w:fldCharType="end"/>
          </w:r>
          <w:r>
            <w:fldChar w:fldCharType="end"/>
          </w:r>
        </w:p>
        <w:p w14:paraId="031E67C9">
          <w:pPr>
            <w:pStyle w:val="18"/>
            <w:tabs>
              <w:tab w:val="right" w:leader="dot" w:pos="8732"/>
            </w:tabs>
          </w:pPr>
          <w:r>
            <w:fldChar w:fldCharType="begin"/>
          </w:r>
          <w:r>
            <w:instrText xml:space="preserve"> HYPERLINK \l _Toc14860 </w:instrText>
          </w:r>
          <w:r>
            <w:fldChar w:fldCharType="separate"/>
          </w:r>
          <w:r>
            <w:rPr>
              <w:rFonts w:hint="eastAsia" w:eastAsia="黑体" w:cs="黑体"/>
              <w:kern w:val="0"/>
              <w:szCs w:val="32"/>
              <w:lang w:bidi="ar"/>
            </w:rPr>
            <w:t>六、相关建议</w:t>
          </w:r>
          <w:r>
            <w:tab/>
          </w:r>
          <w:r>
            <w:fldChar w:fldCharType="begin"/>
          </w:r>
          <w:r>
            <w:instrText xml:space="preserve"> PAGEREF _Toc14860 \h </w:instrText>
          </w:r>
          <w:r>
            <w:fldChar w:fldCharType="separate"/>
          </w:r>
          <w:r>
            <w:t>24</w:t>
          </w:r>
          <w:r>
            <w:fldChar w:fldCharType="end"/>
          </w:r>
          <w:r>
            <w:fldChar w:fldCharType="end"/>
          </w:r>
        </w:p>
        <w:p w14:paraId="6297242A">
          <w:pPr>
            <w:pStyle w:val="19"/>
            <w:tabs>
              <w:tab w:val="right" w:leader="dot" w:pos="8732"/>
              <w:tab w:val="clear" w:pos="9016"/>
            </w:tabs>
          </w:pPr>
          <w:r>
            <w:fldChar w:fldCharType="begin"/>
          </w:r>
          <w:r>
            <w:instrText xml:space="preserve"> HYPERLINK \l _Toc1871 </w:instrText>
          </w:r>
          <w:r>
            <w:fldChar w:fldCharType="separate"/>
          </w:r>
          <w:r>
            <w:rPr>
              <w:rFonts w:hint="eastAsia" w:eastAsia="楷体" w:cs="楷体"/>
              <w:kern w:val="0"/>
              <w:szCs w:val="32"/>
              <w:lang w:bidi="ar"/>
            </w:rPr>
            <w:t>（一）提高</w:t>
          </w:r>
          <w:r>
            <w:rPr>
              <w:rFonts w:hint="eastAsia" w:eastAsia="楷体" w:cs="楷体"/>
              <w:kern w:val="0"/>
              <w:szCs w:val="32"/>
              <w:lang w:val="en-US" w:eastAsia="zh-CN" w:bidi="ar"/>
            </w:rPr>
            <w:t>预算绩效指标值</w:t>
          </w:r>
          <w:r>
            <w:rPr>
              <w:rFonts w:hint="eastAsia" w:eastAsia="楷体" w:cs="楷体"/>
              <w:kern w:val="0"/>
              <w:szCs w:val="32"/>
              <w:lang w:bidi="ar"/>
            </w:rPr>
            <w:t>预测的准确性</w:t>
          </w:r>
          <w:r>
            <w:tab/>
          </w:r>
          <w:r>
            <w:fldChar w:fldCharType="begin"/>
          </w:r>
          <w:r>
            <w:instrText xml:space="preserve"> PAGEREF _Toc1871 \h </w:instrText>
          </w:r>
          <w:r>
            <w:fldChar w:fldCharType="separate"/>
          </w:r>
          <w:r>
            <w:t>24</w:t>
          </w:r>
          <w:r>
            <w:fldChar w:fldCharType="end"/>
          </w:r>
          <w:r>
            <w:fldChar w:fldCharType="end"/>
          </w:r>
        </w:p>
        <w:p w14:paraId="0C4D244F">
          <w:pPr>
            <w:pStyle w:val="18"/>
            <w:tabs>
              <w:tab w:val="right" w:leader="dot" w:pos="8732"/>
            </w:tabs>
          </w:pPr>
          <w:r>
            <w:fldChar w:fldCharType="begin"/>
          </w:r>
          <w:r>
            <w:instrText xml:space="preserve"> HYPERLINK \l _Toc2383 </w:instrText>
          </w:r>
          <w:r>
            <w:fldChar w:fldCharType="separate"/>
          </w:r>
          <w:r>
            <w:rPr>
              <w:rFonts w:hint="eastAsia" w:eastAsia="黑体" w:cs="黑体"/>
              <w:kern w:val="0"/>
              <w:szCs w:val="32"/>
              <w:lang w:bidi="ar"/>
            </w:rPr>
            <w:t>七、需要说明的事项</w:t>
          </w:r>
          <w:r>
            <w:tab/>
          </w:r>
          <w:r>
            <w:fldChar w:fldCharType="begin"/>
          </w:r>
          <w:r>
            <w:instrText xml:space="preserve"> PAGEREF _Toc2383 \h </w:instrText>
          </w:r>
          <w:r>
            <w:fldChar w:fldCharType="separate"/>
          </w:r>
          <w:r>
            <w:t>24</w:t>
          </w:r>
          <w:r>
            <w:fldChar w:fldCharType="end"/>
          </w:r>
          <w:r>
            <w:fldChar w:fldCharType="end"/>
          </w:r>
        </w:p>
        <w:p w14:paraId="2CFF8908">
          <w:pPr>
            <w:pStyle w:val="19"/>
            <w:tabs>
              <w:tab w:val="right" w:leader="dot" w:pos="8732"/>
              <w:tab w:val="clear" w:pos="9016"/>
            </w:tabs>
          </w:pPr>
          <w:r>
            <w:fldChar w:fldCharType="begin"/>
          </w:r>
          <w:r>
            <w:instrText xml:space="preserve"> HYPERLINK \l _Toc28131 </w:instrText>
          </w:r>
          <w:r>
            <w:fldChar w:fldCharType="separate"/>
          </w:r>
          <w:r>
            <w:rPr>
              <w:rFonts w:eastAsia="楷体" w:cs="楷体"/>
              <w:kern w:val="0"/>
              <w:szCs w:val="32"/>
              <w:lang w:bidi="ar"/>
            </w:rPr>
            <w:t>（一）关于评价责任的说明</w:t>
          </w:r>
          <w:r>
            <w:tab/>
          </w:r>
          <w:r>
            <w:fldChar w:fldCharType="begin"/>
          </w:r>
          <w:r>
            <w:instrText xml:space="preserve"> PAGEREF _Toc28131 \h </w:instrText>
          </w:r>
          <w:r>
            <w:fldChar w:fldCharType="separate"/>
          </w:r>
          <w:r>
            <w:t>24</w:t>
          </w:r>
          <w:r>
            <w:fldChar w:fldCharType="end"/>
          </w:r>
          <w:r>
            <w:fldChar w:fldCharType="end"/>
          </w:r>
        </w:p>
        <w:p w14:paraId="04FBB974">
          <w:pPr>
            <w:pStyle w:val="19"/>
            <w:tabs>
              <w:tab w:val="right" w:leader="dot" w:pos="8732"/>
              <w:tab w:val="clear" w:pos="9016"/>
            </w:tabs>
          </w:pPr>
          <w:r>
            <w:fldChar w:fldCharType="begin"/>
          </w:r>
          <w:r>
            <w:instrText xml:space="preserve"> HYPERLINK \l _Toc18587 </w:instrText>
          </w:r>
          <w:r>
            <w:fldChar w:fldCharType="separate"/>
          </w:r>
          <w:r>
            <w:rPr>
              <w:rFonts w:hint="eastAsia" w:eastAsia="楷体" w:cs="楷体"/>
              <w:kern w:val="0"/>
              <w:szCs w:val="32"/>
              <w:lang w:bidi="ar"/>
            </w:rPr>
            <w:t>（二）</w:t>
          </w:r>
          <w:r>
            <w:rPr>
              <w:rFonts w:eastAsia="楷体" w:cs="楷体"/>
              <w:kern w:val="0"/>
              <w:szCs w:val="32"/>
              <w:lang w:bidi="ar"/>
            </w:rPr>
            <w:t>关于影响本次绩效评价局限性的说明</w:t>
          </w:r>
          <w:r>
            <w:tab/>
          </w:r>
          <w:r>
            <w:fldChar w:fldCharType="begin"/>
          </w:r>
          <w:r>
            <w:instrText xml:space="preserve"> PAGEREF _Toc18587 \h </w:instrText>
          </w:r>
          <w:r>
            <w:fldChar w:fldCharType="separate"/>
          </w:r>
          <w:r>
            <w:t>24</w:t>
          </w:r>
          <w:r>
            <w:fldChar w:fldCharType="end"/>
          </w:r>
          <w:r>
            <w:fldChar w:fldCharType="end"/>
          </w:r>
        </w:p>
        <w:p w14:paraId="6D110BA4">
          <w:pPr>
            <w:pStyle w:val="19"/>
            <w:tabs>
              <w:tab w:val="right" w:leader="dot" w:pos="8732"/>
              <w:tab w:val="clear" w:pos="9016"/>
            </w:tabs>
          </w:pPr>
          <w:r>
            <w:fldChar w:fldCharType="begin"/>
          </w:r>
          <w:r>
            <w:instrText xml:space="preserve"> HYPERLINK \l _Toc1675 </w:instrText>
          </w:r>
          <w:r>
            <w:fldChar w:fldCharType="separate"/>
          </w:r>
          <w:r>
            <w:rPr>
              <w:rFonts w:hint="eastAsia" w:eastAsia="楷体" w:cs="楷体"/>
              <w:kern w:val="0"/>
              <w:szCs w:val="32"/>
              <w:lang w:bidi="ar"/>
            </w:rPr>
            <w:t>（三）提示报告使用者注意事项的说明</w:t>
          </w:r>
          <w:r>
            <w:tab/>
          </w:r>
          <w:r>
            <w:fldChar w:fldCharType="begin"/>
          </w:r>
          <w:r>
            <w:instrText xml:space="preserve"> PAGEREF _Toc1675 \h </w:instrText>
          </w:r>
          <w:r>
            <w:fldChar w:fldCharType="separate"/>
          </w:r>
          <w:r>
            <w:t>25</w:t>
          </w:r>
          <w:r>
            <w:fldChar w:fldCharType="end"/>
          </w:r>
          <w:r>
            <w:fldChar w:fldCharType="end"/>
          </w:r>
        </w:p>
        <w:p w14:paraId="6623B10F">
          <w:pPr>
            <w:pStyle w:val="18"/>
            <w:tabs>
              <w:tab w:val="right" w:leader="dot" w:pos="8732"/>
            </w:tabs>
          </w:pPr>
          <w:r>
            <w:fldChar w:fldCharType="begin"/>
          </w:r>
          <w:r>
            <w:instrText xml:space="preserve"> HYPERLINK \l _Toc27685 </w:instrText>
          </w:r>
          <w:r>
            <w:fldChar w:fldCharType="separate"/>
          </w:r>
          <w:r>
            <w:rPr>
              <w:rFonts w:hint="eastAsia" w:eastAsia="黑体" w:cs="黑体"/>
              <w:kern w:val="0"/>
              <w:szCs w:val="32"/>
              <w:lang w:bidi="ar"/>
            </w:rPr>
            <w:t>八、附件</w:t>
          </w:r>
          <w:r>
            <w:tab/>
          </w:r>
          <w:r>
            <w:fldChar w:fldCharType="begin"/>
          </w:r>
          <w:r>
            <w:instrText xml:space="preserve"> PAGEREF _Toc27685 \h </w:instrText>
          </w:r>
          <w:r>
            <w:fldChar w:fldCharType="separate"/>
          </w:r>
          <w:r>
            <w:t>26</w:t>
          </w:r>
          <w:r>
            <w:fldChar w:fldCharType="end"/>
          </w:r>
          <w:r>
            <w:fldChar w:fldCharType="end"/>
          </w:r>
        </w:p>
        <w:p w14:paraId="3776094C">
          <w:pPr>
            <w:pStyle w:val="18"/>
            <w:tabs>
              <w:tab w:val="right" w:leader="dot" w:pos="8732"/>
            </w:tabs>
          </w:pPr>
          <w:r>
            <w:fldChar w:fldCharType="begin"/>
          </w:r>
          <w:r>
            <w:instrText xml:space="preserve"> HYPERLINK \l _Toc3 </w:instrText>
          </w:r>
          <w:r>
            <w:fldChar w:fldCharType="separate"/>
          </w:r>
          <w:r>
            <w:rPr>
              <w:rFonts w:hint="eastAsia" w:eastAsia="黑体" w:cs="黑体"/>
              <w:kern w:val="0"/>
              <w:szCs w:val="32"/>
              <w:lang w:bidi="ar"/>
            </w:rPr>
            <w:t>附件1：绩效评价指标体系</w:t>
          </w:r>
          <w:r>
            <w:tab/>
          </w:r>
          <w:r>
            <w:fldChar w:fldCharType="begin"/>
          </w:r>
          <w:r>
            <w:instrText xml:space="preserve"> PAGEREF _Toc3 \h </w:instrText>
          </w:r>
          <w:r>
            <w:fldChar w:fldCharType="separate"/>
          </w:r>
          <w:r>
            <w:t>26</w:t>
          </w:r>
          <w:r>
            <w:fldChar w:fldCharType="end"/>
          </w:r>
          <w:r>
            <w:fldChar w:fldCharType="end"/>
          </w:r>
        </w:p>
        <w:p w14:paraId="1DE57994">
          <w:pPr>
            <w:pStyle w:val="18"/>
            <w:tabs>
              <w:tab w:val="right" w:leader="dot" w:pos="8732"/>
            </w:tabs>
          </w:pPr>
          <w:r>
            <w:fldChar w:fldCharType="begin"/>
          </w:r>
          <w:r>
            <w:instrText xml:space="preserve"> HYPERLINK \l _Toc19863 </w:instrText>
          </w:r>
          <w:r>
            <w:fldChar w:fldCharType="separate"/>
          </w:r>
          <w:r>
            <w:rPr>
              <w:rFonts w:hint="eastAsia" w:eastAsia="黑体" w:cs="黑体"/>
              <w:kern w:val="0"/>
              <w:szCs w:val="32"/>
              <w:lang w:bidi="ar"/>
            </w:rPr>
            <w:t>附件2：</w:t>
          </w:r>
          <w:r>
            <w:rPr>
              <w:rFonts w:hint="eastAsia" w:eastAsia="黑体" w:cs="黑体"/>
              <w:bCs/>
              <w:kern w:val="0"/>
              <w:szCs w:val="32"/>
              <w:lang w:bidi="ar"/>
            </w:rPr>
            <w:t>绩效评价评分表</w:t>
          </w:r>
          <w:r>
            <w:tab/>
          </w:r>
          <w:r>
            <w:fldChar w:fldCharType="begin"/>
          </w:r>
          <w:r>
            <w:instrText xml:space="preserve"> PAGEREF _Toc19863 \h </w:instrText>
          </w:r>
          <w:r>
            <w:fldChar w:fldCharType="separate"/>
          </w:r>
          <w:r>
            <w:t>33</w:t>
          </w:r>
          <w:r>
            <w:fldChar w:fldCharType="end"/>
          </w:r>
          <w:r>
            <w:fldChar w:fldCharType="end"/>
          </w:r>
        </w:p>
        <w:p w14:paraId="7C0A39CA">
          <w:pPr>
            <w:pStyle w:val="18"/>
            <w:tabs>
              <w:tab w:val="right" w:leader="dot" w:pos="8732"/>
            </w:tabs>
          </w:pPr>
          <w:r>
            <w:fldChar w:fldCharType="begin"/>
          </w:r>
          <w:r>
            <w:instrText xml:space="preserve"> HYPERLINK \l _Toc967 </w:instrText>
          </w:r>
          <w:r>
            <w:fldChar w:fldCharType="separate"/>
          </w:r>
          <w:r>
            <w:rPr>
              <w:rFonts w:hint="eastAsia" w:eastAsia="黑体" w:cs="黑体"/>
              <w:bCs/>
              <w:kern w:val="0"/>
              <w:szCs w:val="32"/>
              <w:lang w:bidi="ar"/>
            </w:rPr>
            <w:t>附件</w:t>
          </w:r>
          <w:r>
            <w:rPr>
              <w:rFonts w:hint="eastAsia" w:eastAsia="黑体" w:cs="黑体"/>
              <w:bCs/>
              <w:kern w:val="0"/>
              <w:szCs w:val="32"/>
              <w:lang w:val="en-US" w:eastAsia="zh-CN" w:bidi="ar"/>
            </w:rPr>
            <w:t>3</w:t>
          </w:r>
          <w:r>
            <w:rPr>
              <w:rFonts w:hint="eastAsia" w:eastAsia="黑体" w:cs="黑体"/>
              <w:bCs/>
              <w:kern w:val="0"/>
              <w:szCs w:val="32"/>
              <w:lang w:bidi="ar"/>
            </w:rPr>
            <w:t>：</w:t>
          </w:r>
          <w:r>
            <w:rPr>
              <w:rFonts w:hint="eastAsia" w:eastAsia="黑体" w:cs="黑体"/>
              <w:kern w:val="0"/>
              <w:szCs w:val="32"/>
              <w:lang w:val="en-US" w:eastAsia="zh-CN" w:bidi="ar"/>
            </w:rPr>
            <w:t>调查问卷</w:t>
          </w:r>
          <w:r>
            <w:tab/>
          </w:r>
          <w:r>
            <w:fldChar w:fldCharType="begin"/>
          </w:r>
          <w:r>
            <w:instrText xml:space="preserve"> PAGEREF _Toc967 \h </w:instrText>
          </w:r>
          <w:r>
            <w:fldChar w:fldCharType="separate"/>
          </w:r>
          <w:r>
            <w:t>34</w:t>
          </w:r>
          <w:r>
            <w:fldChar w:fldCharType="end"/>
          </w:r>
          <w:r>
            <w:fldChar w:fldCharType="end"/>
          </w:r>
        </w:p>
        <w:p w14:paraId="1F440731">
          <w:pPr>
            <w:ind w:firstLine="0" w:firstLineChars="0"/>
            <w:rPr>
              <w:rFonts w:cs="仿宋_GB2312"/>
              <w:szCs w:val="30"/>
            </w:rPr>
          </w:pPr>
          <w:r>
            <w:fldChar w:fldCharType="end"/>
          </w:r>
        </w:p>
      </w:sdtContent>
    </w:sdt>
    <w:p w14:paraId="2933F384">
      <w:pPr>
        <w:ind w:firstLine="0" w:firstLineChars="0"/>
        <w:rPr>
          <w:rFonts w:cs="仿宋_GB2312"/>
          <w:szCs w:val="30"/>
        </w:rPr>
      </w:pPr>
    </w:p>
    <w:p w14:paraId="281C9E01">
      <w:pPr>
        <w:ind w:firstLine="600"/>
        <w:rPr>
          <w:rFonts w:cs="仿宋_GB2312"/>
          <w:szCs w:val="30"/>
        </w:rPr>
        <w:sectPr>
          <w:headerReference r:id="rId5" w:type="default"/>
          <w:pgSz w:w="11906" w:h="16838"/>
          <w:pgMar w:top="1440" w:right="1587" w:bottom="1440" w:left="1587" w:header="822" w:footer="992" w:gutter="0"/>
          <w:pgBorders>
            <w:top w:val="none" w:sz="0" w:space="0"/>
            <w:left w:val="none" w:sz="0" w:space="0"/>
            <w:bottom w:val="none" w:sz="0" w:space="0"/>
            <w:right w:val="none" w:sz="0" w:space="0"/>
          </w:pgBorders>
          <w:cols w:space="0" w:num="1"/>
          <w:docGrid w:type="lines" w:linePitch="410" w:charSpace="0"/>
        </w:sectPr>
      </w:pPr>
    </w:p>
    <w:p w14:paraId="1409ECEB">
      <w:pPr>
        <w:bidi w:val="0"/>
        <w:rPr>
          <w:rFonts w:hint="eastAsia" w:ascii="Times New Roman" w:hAnsi="Times New Roman" w:cs="Times New Roman"/>
          <w:lang w:val="en-US" w:eastAsia="zh-CN"/>
        </w:rPr>
      </w:pPr>
      <w:bookmarkStart w:id="1" w:name="_Toc61482762"/>
      <w:bookmarkStart w:id="2" w:name="_Toc46753924"/>
      <w:bookmarkStart w:id="3" w:name="_Toc59577468"/>
      <w:bookmarkStart w:id="4" w:name="_Toc61482971"/>
      <w:bookmarkStart w:id="5" w:name="_Toc23474"/>
      <w:bookmarkStart w:id="6" w:name="_Toc61482843"/>
      <w:r>
        <w:rPr>
          <w:rFonts w:hint="eastAsia" w:ascii="Times New Roman" w:hAnsi="Times New Roman" w:cs="Times New Roman"/>
          <w:lang w:val="en-US" w:eastAsia="zh-CN"/>
        </w:rPr>
        <w:t>为深入贯彻落实《中共中央 国务院关于全面实施预算绩效管理的意见》（中发〔2018〕34号）《财政部关于印发〈项目支出绩效评价管理办法〉的通知》（财预〔2020〕10号）要求，推进全过程预算绩效管理，增强预算执行约束力，提高预算执行效率和财政资金使用效益，根据《内蒙古自治区关于全面实施预算绩效管理的实施意见》（内财监〔2019〕1343号），《内蒙古自治区人民政府办公厅关于印发〈内蒙古自治区项目支出绩效评价管理办法〉的通知》（内政办发〔2021〕5号）等文件要求，对杭锦旗人民检察院办案（业务）经费项目从项目产出和项目效益等方面进行了全面的绩效评价并形成此绩效评价报告。</w:t>
      </w:r>
    </w:p>
    <w:p w14:paraId="08BB72B7">
      <w:pPr>
        <w:widowControl/>
        <w:ind w:firstLine="640"/>
        <w:jc w:val="left"/>
        <w:outlineLvl w:val="0"/>
        <w:rPr>
          <w:rFonts w:eastAsia="黑体" w:cs="黑体"/>
          <w:kern w:val="0"/>
          <w:sz w:val="32"/>
          <w:szCs w:val="32"/>
          <w:lang w:bidi="ar"/>
        </w:rPr>
      </w:pPr>
      <w:bookmarkStart w:id="7" w:name="_Toc20283"/>
      <w:bookmarkStart w:id="8" w:name="_Toc24160"/>
      <w:r>
        <w:rPr>
          <w:rFonts w:hint="eastAsia" w:eastAsia="黑体" w:cs="黑体"/>
          <w:kern w:val="0"/>
          <w:sz w:val="32"/>
          <w:szCs w:val="32"/>
          <w:lang w:bidi="ar"/>
        </w:rPr>
        <w:t>一、项目概述</w:t>
      </w:r>
      <w:bookmarkEnd w:id="1"/>
      <w:bookmarkEnd w:id="2"/>
      <w:bookmarkEnd w:id="3"/>
      <w:bookmarkEnd w:id="4"/>
      <w:bookmarkEnd w:id="5"/>
      <w:bookmarkEnd w:id="6"/>
      <w:bookmarkEnd w:id="7"/>
      <w:bookmarkEnd w:id="8"/>
    </w:p>
    <w:p w14:paraId="42B3EFF2">
      <w:pPr>
        <w:widowControl/>
        <w:ind w:firstLine="643"/>
        <w:jc w:val="left"/>
        <w:outlineLvl w:val="1"/>
        <w:rPr>
          <w:rFonts w:eastAsia="楷体" w:cs="楷体"/>
          <w:b/>
          <w:kern w:val="0"/>
          <w:sz w:val="32"/>
          <w:szCs w:val="32"/>
          <w:lang w:bidi="ar"/>
        </w:rPr>
      </w:pPr>
      <w:bookmarkStart w:id="9" w:name="_Toc471908688"/>
      <w:bookmarkStart w:id="10" w:name="_Toc447890769"/>
      <w:bookmarkStart w:id="11" w:name="_Toc22323"/>
      <w:bookmarkStart w:id="12" w:name="_Toc13514"/>
      <w:bookmarkStart w:id="13" w:name="_Toc46753925"/>
      <w:bookmarkStart w:id="14" w:name="_Toc8443"/>
      <w:bookmarkStart w:id="15" w:name="_Toc61482844"/>
      <w:bookmarkStart w:id="16" w:name="_Toc16865"/>
      <w:bookmarkStart w:id="17" w:name="_Toc26168"/>
      <w:bookmarkStart w:id="18" w:name="_Toc61482763"/>
      <w:bookmarkStart w:id="19" w:name="_Toc9493289"/>
      <w:bookmarkStart w:id="20" w:name="_Toc61482972"/>
      <w:bookmarkStart w:id="21" w:name="_Toc22502"/>
      <w:bookmarkStart w:id="22" w:name="_Toc18177"/>
      <w:bookmarkStart w:id="23" w:name="_Toc479447835"/>
      <w:bookmarkStart w:id="24" w:name="_Toc21272"/>
      <w:bookmarkStart w:id="25" w:name="_Toc17901"/>
      <w:r>
        <w:rPr>
          <w:rFonts w:hint="eastAsia" w:eastAsia="楷体" w:cs="楷体"/>
          <w:b/>
          <w:kern w:val="0"/>
          <w:sz w:val="32"/>
          <w:szCs w:val="32"/>
          <w:lang w:bidi="ar"/>
        </w:rPr>
        <w:t>（一）项目</w:t>
      </w:r>
      <w:bookmarkEnd w:id="9"/>
      <w:bookmarkEnd w:id="10"/>
      <w:bookmarkEnd w:id="11"/>
      <w:r>
        <w:rPr>
          <w:rFonts w:hint="eastAsia" w:eastAsia="楷体" w:cs="楷体"/>
          <w:b/>
          <w:kern w:val="0"/>
          <w:sz w:val="32"/>
          <w:szCs w:val="32"/>
          <w:lang w:bidi="ar"/>
        </w:rPr>
        <w:t>基本概况</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B41004C">
      <w:pPr>
        <w:ind w:firstLine="602"/>
        <w:rPr>
          <w:rFonts w:hint="eastAsia"/>
          <w:b/>
          <w:bCs/>
          <w:sz w:val="32"/>
          <w:szCs w:val="32"/>
        </w:rPr>
      </w:pPr>
      <w:r>
        <w:rPr>
          <w:rFonts w:hint="eastAsia"/>
          <w:b/>
          <w:bCs/>
          <w:sz w:val="32"/>
          <w:szCs w:val="32"/>
        </w:rPr>
        <w:t>1.项目立项背景</w:t>
      </w:r>
    </w:p>
    <w:p w14:paraId="6B11ADF7">
      <w:pPr>
        <w:bidi w:val="0"/>
        <w:rPr>
          <w:rFonts w:hint="eastAsia" w:ascii="Times New Roman" w:hAnsi="Times New Roman" w:cs="Times New Roman"/>
          <w:lang w:val="en-US" w:eastAsia="zh-CN"/>
        </w:rPr>
      </w:pPr>
      <w:r>
        <w:rPr>
          <w:rFonts w:hint="eastAsia" w:ascii="Times New Roman" w:hAnsi="Times New Roman" w:cs="Times New Roman"/>
          <w:lang w:val="en-US" w:eastAsia="zh-CN"/>
        </w:rPr>
        <w:t>检察工作是检验政府工作的重要指标，是国家机构的重要组成部分。党的十八届三中全会提出创新社会治理体制，着力于治理体系和治理能力现代化目标，维护广大群众根本利益，增加和谐因素，激发社会发展活力。旗人民检察院依照法律规定履行法律监督职能，保证国家法律的统一、正确实施，保障社会主义现代化建设的顺利进行，办案（业务）经费是保障检察院机构正常、高效运转为维护杭锦旗政治安全和社会稳定、加强生态环境司法保护、促进优化营商法治环境、推进扫黑除恶专项斗争、参与反腐败斗争和社会治理提供基础保障。</w:t>
      </w:r>
    </w:p>
    <w:p w14:paraId="60CF6C17">
      <w:pPr>
        <w:bidi w:val="0"/>
        <w:rPr>
          <w:rFonts w:hint="eastAsia" w:ascii="Times New Roman" w:hAnsi="Times New Roman" w:cs="Times New Roman"/>
          <w:lang w:val="en-US" w:eastAsia="zh-CN"/>
        </w:rPr>
      </w:pPr>
      <w:r>
        <w:rPr>
          <w:rFonts w:hint="eastAsia" w:ascii="Times New Roman" w:hAnsi="Times New Roman" w:cs="Times New Roman"/>
          <w:lang w:val="en-US" w:eastAsia="zh-CN"/>
        </w:rPr>
        <w:t>根据办案（业务）经费项目预算申报文本及批复文件，202</w:t>
      </w:r>
      <w:r>
        <w:rPr>
          <w:rFonts w:hint="eastAsia" w:cs="Times New Roman"/>
          <w:lang w:val="en-US" w:eastAsia="zh-CN"/>
        </w:rPr>
        <w:t>4</w:t>
      </w:r>
      <w:r>
        <w:rPr>
          <w:rFonts w:hint="eastAsia" w:ascii="Times New Roman" w:hAnsi="Times New Roman" w:cs="Times New Roman"/>
          <w:lang w:val="en-US" w:eastAsia="zh-CN"/>
        </w:rPr>
        <w:t>年项目预算资金为</w:t>
      </w:r>
      <w:r>
        <w:rPr>
          <w:rFonts w:hint="eastAsia" w:cs="Times New Roman"/>
          <w:lang w:val="en-US" w:eastAsia="zh-CN"/>
        </w:rPr>
        <w:t>304.00</w:t>
      </w:r>
      <w:r>
        <w:rPr>
          <w:rFonts w:hint="eastAsia" w:ascii="Times New Roman" w:hAnsi="Times New Roman" w:cs="Times New Roman"/>
          <w:lang w:val="en-US" w:eastAsia="zh-CN"/>
        </w:rPr>
        <w:t>万元，主要用于差旅费、印刷费、取暖费、物业管理费、公务用车运行维护费、委托业务费、业务维修费、培训费等。</w:t>
      </w:r>
    </w:p>
    <w:p w14:paraId="71504E6C">
      <w:pPr>
        <w:ind w:firstLine="602"/>
        <w:rPr>
          <w:rFonts w:hint="eastAsia"/>
          <w:b/>
          <w:bCs/>
          <w:sz w:val="32"/>
          <w:szCs w:val="32"/>
        </w:rPr>
      </w:pPr>
      <w:r>
        <w:rPr>
          <w:rFonts w:hint="eastAsia"/>
          <w:b/>
          <w:bCs/>
          <w:sz w:val="32"/>
          <w:szCs w:val="32"/>
          <w:lang w:val="en-US" w:eastAsia="zh-CN"/>
        </w:rPr>
        <w:t>2</w:t>
      </w:r>
      <w:r>
        <w:rPr>
          <w:rFonts w:hint="eastAsia"/>
          <w:b/>
          <w:bCs/>
          <w:sz w:val="32"/>
          <w:szCs w:val="32"/>
        </w:rPr>
        <w:t>.项目主要内容及实施情况</w:t>
      </w:r>
    </w:p>
    <w:p w14:paraId="3268D86C">
      <w:pPr>
        <w:bidi w:val="0"/>
        <w:rPr>
          <w:rFonts w:hint="eastAsia" w:ascii="Times New Roman" w:hAnsi="Times New Roman" w:cs="Times New Roman"/>
          <w:lang w:val="en-US" w:eastAsia="zh-CN"/>
        </w:rPr>
      </w:pPr>
      <w:bookmarkStart w:id="26" w:name="_Hlk79068131"/>
      <w:r>
        <w:rPr>
          <w:rFonts w:hint="eastAsia" w:ascii="Times New Roman" w:hAnsi="Times New Roman" w:cs="Times New Roman"/>
          <w:lang w:val="en-US" w:eastAsia="zh-CN"/>
        </w:rPr>
        <w:t>经费使用的具体内容：检察院办案业务经费项目主要包括公务用车运行维护费、委托业务费等方面，这些经费用于支持案件审理过程中的各项费用。</w:t>
      </w:r>
    </w:p>
    <w:bookmarkEnd w:id="26"/>
    <w:p w14:paraId="73C3AF41">
      <w:pPr>
        <w:ind w:firstLine="602"/>
        <w:rPr>
          <w:rFonts w:hint="eastAsia"/>
          <w:b/>
          <w:bCs/>
          <w:sz w:val="32"/>
          <w:szCs w:val="32"/>
        </w:rPr>
      </w:pPr>
      <w:r>
        <w:rPr>
          <w:rFonts w:hint="eastAsia"/>
          <w:b/>
          <w:bCs/>
          <w:sz w:val="32"/>
          <w:szCs w:val="32"/>
          <w:lang w:val="en-US" w:eastAsia="zh-CN"/>
        </w:rPr>
        <w:t>3</w:t>
      </w:r>
      <w:r>
        <w:rPr>
          <w:rFonts w:hint="eastAsia"/>
          <w:b/>
          <w:bCs/>
          <w:sz w:val="32"/>
          <w:szCs w:val="32"/>
        </w:rPr>
        <w:t>.项目资金投入及使用情况</w:t>
      </w:r>
    </w:p>
    <w:p w14:paraId="362025B2">
      <w:pPr>
        <w:bidi w:val="0"/>
        <w:rPr>
          <w:rFonts w:hint="eastAsia" w:ascii="Times New Roman" w:hAnsi="Times New Roman" w:cs="Times New Roman"/>
          <w:lang w:val="en-US" w:eastAsia="zh-CN"/>
        </w:rPr>
      </w:pPr>
      <w:bookmarkStart w:id="27" w:name="_Toc61482764"/>
      <w:bookmarkStart w:id="28" w:name="_Toc61482845"/>
      <w:bookmarkStart w:id="29" w:name="_Toc61482973"/>
      <w:bookmarkStart w:id="30" w:name="_Toc19950"/>
      <w:r>
        <w:rPr>
          <w:rFonts w:hint="eastAsia" w:ascii="Times New Roman" w:hAnsi="Times New Roman" w:cs="Times New Roman"/>
          <w:lang w:val="en-US" w:eastAsia="zh-CN"/>
        </w:rPr>
        <w:t>杭锦旗人民检察院办案（业务）经费项目全年预算数为</w:t>
      </w:r>
      <w:r>
        <w:rPr>
          <w:rFonts w:hint="eastAsia" w:cs="Times New Roman"/>
          <w:lang w:val="en-US" w:eastAsia="zh-CN"/>
        </w:rPr>
        <w:t>353.96</w:t>
      </w:r>
      <w:r>
        <w:rPr>
          <w:rFonts w:hint="eastAsia" w:ascii="Times New Roman" w:hAnsi="Times New Roman" w:cs="Times New Roman"/>
          <w:lang w:val="en-US" w:eastAsia="zh-CN"/>
        </w:rPr>
        <w:t>万元，实际到位资金</w:t>
      </w:r>
      <w:r>
        <w:rPr>
          <w:rFonts w:hint="eastAsia" w:cs="Times New Roman"/>
          <w:lang w:val="en-US" w:eastAsia="zh-CN"/>
        </w:rPr>
        <w:t>353.96</w:t>
      </w:r>
      <w:r>
        <w:rPr>
          <w:rFonts w:hint="eastAsia" w:ascii="Times New Roman" w:hAnsi="Times New Roman" w:cs="Times New Roman"/>
          <w:lang w:val="en-US" w:eastAsia="zh-CN"/>
        </w:rPr>
        <w:t>万元，截至202</w:t>
      </w:r>
      <w:r>
        <w:rPr>
          <w:rFonts w:hint="eastAsia" w:cs="Times New Roman"/>
          <w:lang w:val="en-US" w:eastAsia="zh-CN"/>
        </w:rPr>
        <w:t>4</w:t>
      </w:r>
      <w:r>
        <w:rPr>
          <w:rFonts w:hint="eastAsia" w:ascii="Times New Roman" w:hAnsi="Times New Roman" w:cs="Times New Roman"/>
          <w:lang w:val="en-US" w:eastAsia="zh-CN"/>
        </w:rPr>
        <w:t>年12月底，执行数为</w:t>
      </w:r>
      <w:r>
        <w:rPr>
          <w:rFonts w:hint="eastAsia" w:cs="Times New Roman"/>
          <w:lang w:val="en-US" w:eastAsia="zh-CN"/>
        </w:rPr>
        <w:t>363.96</w:t>
      </w:r>
      <w:r>
        <w:rPr>
          <w:rFonts w:hint="eastAsia" w:ascii="Times New Roman" w:hAnsi="Times New Roman" w:cs="Times New Roman"/>
          <w:lang w:val="en-US" w:eastAsia="zh-CN"/>
        </w:rPr>
        <w:t>万元，预算执行率达到100%。</w:t>
      </w:r>
    </w:p>
    <w:bookmarkEnd w:id="27"/>
    <w:bookmarkEnd w:id="28"/>
    <w:bookmarkEnd w:id="29"/>
    <w:bookmarkEnd w:id="30"/>
    <w:p w14:paraId="57AEE76C">
      <w:pPr>
        <w:widowControl/>
        <w:ind w:firstLine="643"/>
        <w:jc w:val="left"/>
        <w:outlineLvl w:val="1"/>
        <w:rPr>
          <w:rFonts w:eastAsia="楷体" w:cs="楷体"/>
          <w:b/>
          <w:kern w:val="0"/>
          <w:sz w:val="32"/>
          <w:szCs w:val="32"/>
          <w:lang w:bidi="ar"/>
        </w:rPr>
      </w:pPr>
      <w:bookmarkStart w:id="31" w:name="_Toc20363"/>
      <w:bookmarkStart w:id="32" w:name="_Toc5497"/>
      <w:bookmarkStart w:id="33" w:name="_Toc23882"/>
      <w:bookmarkStart w:id="34" w:name="_Toc12282"/>
      <w:bookmarkStart w:id="35" w:name="_Toc61482974"/>
      <w:bookmarkStart w:id="36" w:name="_Toc2736"/>
      <w:bookmarkStart w:id="37" w:name="_Toc61482846"/>
      <w:bookmarkStart w:id="38" w:name="_Toc9493291"/>
      <w:bookmarkStart w:id="39" w:name="_Toc17048"/>
      <w:bookmarkStart w:id="40" w:name="_Toc61482765"/>
      <w:bookmarkStart w:id="41" w:name="_Toc59577469"/>
      <w:bookmarkStart w:id="42" w:name="_Toc57965937"/>
      <w:bookmarkStart w:id="43" w:name="_Toc30687"/>
      <w:bookmarkStart w:id="44" w:name="_Toc25400"/>
      <w:r>
        <w:rPr>
          <w:rFonts w:hint="eastAsia" w:eastAsia="楷体" w:cs="楷体"/>
          <w:b/>
          <w:kern w:val="0"/>
          <w:sz w:val="32"/>
          <w:szCs w:val="32"/>
          <w:lang w:bidi="ar"/>
        </w:rPr>
        <w:t>（二）项目</w:t>
      </w:r>
      <w:r>
        <w:rPr>
          <w:rFonts w:hint="eastAsia" w:eastAsia="楷体" w:cs="楷体"/>
          <w:b/>
          <w:kern w:val="0"/>
          <w:sz w:val="32"/>
          <w:szCs w:val="32"/>
          <w:lang w:val="en-US" w:eastAsia="zh-CN" w:bidi="ar"/>
        </w:rPr>
        <w:t>绩效</w:t>
      </w:r>
      <w:r>
        <w:rPr>
          <w:rFonts w:hint="eastAsia" w:eastAsia="楷体" w:cs="楷体"/>
          <w:b/>
          <w:kern w:val="0"/>
          <w:sz w:val="32"/>
          <w:szCs w:val="32"/>
          <w:lang w:bidi="ar"/>
        </w:rPr>
        <w:t>目标</w:t>
      </w:r>
      <w:bookmarkEnd w:id="31"/>
      <w:bookmarkEnd w:id="32"/>
    </w:p>
    <w:p w14:paraId="7E7B2316">
      <w:pPr>
        <w:bidi w:val="0"/>
        <w:rPr>
          <w:rFonts w:hint="eastAsia" w:ascii="Times New Roman" w:hAnsi="Times New Roman" w:cs="Times New Roman"/>
          <w:lang w:val="en-US" w:eastAsia="zh-CN"/>
        </w:rPr>
      </w:pPr>
      <w:r>
        <w:rPr>
          <w:rFonts w:hint="eastAsia" w:ascii="Times New Roman" w:hAnsi="Times New Roman" w:cs="Times New Roman"/>
          <w:lang w:val="en-US" w:eastAsia="zh-CN"/>
        </w:rPr>
        <w:t>由《办案（业务）经费项目绩效目标表》可知，该项目202</w:t>
      </w:r>
      <w:r>
        <w:rPr>
          <w:rFonts w:hint="eastAsia" w:cs="Times New Roman"/>
          <w:lang w:val="en-US" w:eastAsia="zh-CN"/>
        </w:rPr>
        <w:t>4</w:t>
      </w:r>
      <w:r>
        <w:rPr>
          <w:rFonts w:hint="eastAsia" w:ascii="Times New Roman" w:hAnsi="Times New Roman" w:cs="Times New Roman"/>
          <w:lang w:val="en-US" w:eastAsia="zh-CN"/>
        </w:rPr>
        <w:t>年绩效目标为：</w:t>
      </w:r>
    </w:p>
    <w:p w14:paraId="19357A35">
      <w:pPr>
        <w:bidi w:val="0"/>
        <w:rPr>
          <w:rFonts w:hint="eastAsia" w:ascii="Times New Roman" w:hAnsi="Times New Roman" w:cs="Times New Roman"/>
          <w:lang w:val="en-US" w:eastAsia="zh-CN"/>
        </w:rPr>
      </w:pPr>
      <w:r>
        <w:rPr>
          <w:rFonts w:hint="eastAsia" w:ascii="Times New Roman" w:hAnsi="Times New Roman" w:cs="Times New Roman"/>
          <w:lang w:val="en-US" w:eastAsia="zh-CN"/>
        </w:rPr>
        <w:t>1.保障差旅费、印刷费、取暖费、物业管理费、公务用车运行维护费、委托业务费、业务维修费、培训费等支出</w:t>
      </w:r>
      <w:r>
        <w:rPr>
          <w:rFonts w:hint="eastAsia" w:cs="Times New Roman"/>
          <w:lang w:val="en-US" w:eastAsia="zh-CN"/>
        </w:rPr>
        <w:t>；</w:t>
      </w:r>
    </w:p>
    <w:p w14:paraId="3FC11DA6">
      <w:pPr>
        <w:bidi w:val="0"/>
        <w:rPr>
          <w:rFonts w:hint="eastAsia" w:ascii="Times New Roman" w:hAnsi="Times New Roman" w:cs="Times New Roman"/>
          <w:lang w:val="en-US" w:eastAsia="zh-CN"/>
        </w:rPr>
      </w:pPr>
      <w:r>
        <w:rPr>
          <w:rFonts w:hint="eastAsia" w:cs="Times New Roman"/>
          <w:lang w:val="en-US" w:eastAsia="zh-CN"/>
        </w:rPr>
        <w:t>2.</w:t>
      </w:r>
      <w:r>
        <w:rPr>
          <w:rFonts w:hint="eastAsia" w:ascii="Times New Roman" w:hAnsi="Times New Roman" w:cs="Times New Roman"/>
          <w:lang w:val="en-US" w:eastAsia="zh-CN"/>
        </w:rPr>
        <w:t>加强法律监督等职能</w:t>
      </w:r>
      <w:r>
        <w:rPr>
          <w:rFonts w:hint="eastAsia" w:cs="Times New Roman"/>
          <w:lang w:val="en-US" w:eastAsia="zh-CN"/>
        </w:rPr>
        <w:t>；</w:t>
      </w:r>
    </w:p>
    <w:p w14:paraId="55DDFBEE">
      <w:pPr>
        <w:bidi w:val="0"/>
        <w:rPr>
          <w:rFonts w:hint="eastAsia" w:ascii="Times New Roman" w:hAnsi="Times New Roman" w:cs="Times New Roman"/>
          <w:lang w:val="en-US" w:eastAsia="zh-CN"/>
        </w:rPr>
      </w:pPr>
      <w:r>
        <w:rPr>
          <w:rFonts w:hint="eastAsia" w:ascii="Times New Roman" w:hAnsi="Times New Roman" w:cs="Times New Roman"/>
          <w:lang w:val="en-US" w:eastAsia="zh-CN"/>
        </w:rPr>
        <w:t>3.增加年度案件办理数量、减短案件办理时限、提升案件当事人满意度。</w:t>
      </w:r>
    </w:p>
    <w:p w14:paraId="732BD0D2">
      <w:pPr>
        <w:widowControl/>
        <w:ind w:firstLine="640"/>
        <w:jc w:val="left"/>
        <w:outlineLvl w:val="0"/>
        <w:rPr>
          <w:rFonts w:eastAsia="黑体" w:cs="黑体"/>
          <w:kern w:val="0"/>
          <w:sz w:val="32"/>
          <w:szCs w:val="32"/>
          <w:lang w:bidi="ar"/>
        </w:rPr>
      </w:pPr>
      <w:bookmarkStart w:id="45" w:name="_Toc8910"/>
      <w:bookmarkStart w:id="46" w:name="_Toc16891"/>
      <w:r>
        <w:rPr>
          <w:rFonts w:hint="eastAsia" w:eastAsia="黑体" w:cs="黑体"/>
          <w:kern w:val="0"/>
          <w:sz w:val="32"/>
          <w:szCs w:val="32"/>
          <w:lang w:bidi="ar"/>
        </w:rPr>
        <w:t>二、绩效评价工作开展情况</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6071754">
      <w:pPr>
        <w:widowControl/>
        <w:ind w:firstLine="643"/>
        <w:jc w:val="left"/>
        <w:outlineLvl w:val="1"/>
        <w:rPr>
          <w:rFonts w:eastAsia="楷体" w:cs="楷体"/>
          <w:b/>
          <w:kern w:val="0"/>
          <w:sz w:val="32"/>
          <w:szCs w:val="32"/>
          <w:lang w:bidi="ar"/>
        </w:rPr>
      </w:pPr>
      <w:bookmarkStart w:id="47" w:name="_Toc61482766"/>
      <w:bookmarkStart w:id="48" w:name="_Toc61482975"/>
      <w:bookmarkStart w:id="49" w:name="_Toc12831"/>
      <w:bookmarkStart w:id="50" w:name="_Toc61482847"/>
      <w:bookmarkStart w:id="51" w:name="_Toc2261"/>
      <w:bookmarkStart w:id="52" w:name="_Toc1501"/>
      <w:r>
        <w:rPr>
          <w:rFonts w:hint="eastAsia" w:eastAsia="楷体" w:cs="楷体"/>
          <w:b/>
          <w:kern w:val="0"/>
          <w:sz w:val="32"/>
          <w:szCs w:val="32"/>
          <w:lang w:bidi="ar"/>
        </w:rPr>
        <w:t>（一）</w:t>
      </w:r>
      <w:bookmarkEnd w:id="47"/>
      <w:bookmarkEnd w:id="48"/>
      <w:bookmarkEnd w:id="49"/>
      <w:bookmarkEnd w:id="50"/>
      <w:bookmarkEnd w:id="51"/>
      <w:r>
        <w:rPr>
          <w:rFonts w:hint="eastAsia" w:eastAsia="楷体" w:cs="楷体"/>
          <w:b/>
          <w:kern w:val="0"/>
          <w:sz w:val="32"/>
          <w:szCs w:val="32"/>
          <w:lang w:bidi="ar"/>
        </w:rPr>
        <w:t>绩效评价目的、对象和范围</w:t>
      </w:r>
      <w:bookmarkEnd w:id="52"/>
    </w:p>
    <w:p w14:paraId="29993EE2">
      <w:pPr>
        <w:ind w:firstLine="602"/>
        <w:rPr>
          <w:rFonts w:hint="eastAsia"/>
          <w:b/>
          <w:bCs/>
          <w:sz w:val="32"/>
          <w:szCs w:val="32"/>
          <w:highlight w:val="none"/>
        </w:rPr>
      </w:pPr>
      <w:r>
        <w:rPr>
          <w:rFonts w:hint="eastAsia"/>
          <w:b/>
          <w:bCs/>
          <w:sz w:val="32"/>
          <w:szCs w:val="32"/>
          <w:highlight w:val="none"/>
        </w:rPr>
        <w:t>1.绩效评价目的</w:t>
      </w:r>
    </w:p>
    <w:p w14:paraId="58DF5F37">
      <w:pPr>
        <w:bidi w:val="0"/>
        <w:rPr>
          <w:rFonts w:hint="eastAsia" w:ascii="Times New Roman" w:hAnsi="Times New Roman" w:cs="Times New Roman"/>
          <w:lang w:val="en-US" w:eastAsia="zh-CN"/>
        </w:rPr>
      </w:pPr>
      <w:r>
        <w:rPr>
          <w:rFonts w:hint="eastAsia" w:ascii="Times New Roman" w:hAnsi="Times New Roman" w:cs="Times New Roman"/>
          <w:lang w:val="en-US" w:eastAsia="zh-CN"/>
        </w:rPr>
        <w:t>通过绩效评价工作的开展，全面了解办案（业务）经费项目的业务管理、资金使用情况以及目标任务完成情况，对项目实施成效进行综合评价，总结经验、发现项目在管理中的问题和不足，及时采取措施加以改进，避免财政资金的浪费和损失，并有针对性地提出建议，为以后年度预算安排提供决策参考依据，规范财政资金使用，提高财政资金效益。</w:t>
      </w:r>
    </w:p>
    <w:p w14:paraId="137AC457">
      <w:pPr>
        <w:ind w:firstLine="602"/>
        <w:rPr>
          <w:rFonts w:hint="eastAsia"/>
          <w:b/>
          <w:bCs/>
          <w:sz w:val="32"/>
          <w:szCs w:val="32"/>
          <w:highlight w:val="none"/>
        </w:rPr>
      </w:pPr>
      <w:r>
        <w:rPr>
          <w:rFonts w:hint="eastAsia"/>
          <w:b/>
          <w:bCs/>
          <w:sz w:val="32"/>
          <w:szCs w:val="32"/>
          <w:highlight w:val="none"/>
        </w:rPr>
        <w:t>2.绩效评价对象及范围</w:t>
      </w:r>
    </w:p>
    <w:p w14:paraId="011554D3">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本次绩效评价的对象为杭锦旗人民检察院</w:t>
      </w:r>
      <w:r>
        <w:rPr>
          <w:rFonts w:hint="eastAsia" w:cs="Times New Roman"/>
          <w:lang w:val="en-US" w:eastAsia="zh-CN"/>
        </w:rPr>
        <w:t>2024年度</w:t>
      </w:r>
      <w:r>
        <w:rPr>
          <w:rFonts w:hint="eastAsia" w:ascii="Times New Roman" w:hAnsi="Times New Roman" w:cs="Times New Roman"/>
          <w:lang w:val="en-US" w:eastAsia="zh-CN"/>
        </w:rPr>
        <w:t>开展的办案（业务）经费项目，评价范围为该项目所</w:t>
      </w:r>
      <w:r>
        <w:rPr>
          <w:rFonts w:hint="eastAsia" w:cs="Times New Roman"/>
          <w:lang w:val="en-US" w:eastAsia="zh-CN"/>
        </w:rPr>
        <w:t>有</w:t>
      </w:r>
      <w:r>
        <w:rPr>
          <w:rFonts w:hint="eastAsia" w:ascii="Times New Roman" w:hAnsi="Times New Roman" w:cs="Times New Roman"/>
          <w:lang w:val="en-US" w:eastAsia="zh-CN"/>
        </w:rPr>
        <w:t>预算资金，共计353.96万元。从资金立项决策、投入及使用、资金管理、资金组织实施、质量控制、资金管理制度建设、资金目标完成情况、资金产出及效果等进行综合性分析评价。项目评价时间为202</w:t>
      </w:r>
      <w:r>
        <w:rPr>
          <w:rFonts w:hint="eastAsia" w:cs="Times New Roman"/>
          <w:lang w:val="en-US" w:eastAsia="zh-CN"/>
        </w:rPr>
        <w:t>4</w:t>
      </w:r>
      <w:r>
        <w:rPr>
          <w:rFonts w:hint="eastAsia" w:ascii="Times New Roman" w:hAnsi="Times New Roman" w:cs="Times New Roman"/>
          <w:lang w:val="en-US" w:eastAsia="zh-CN"/>
        </w:rPr>
        <w:t>年1月1日至202</w:t>
      </w:r>
      <w:r>
        <w:rPr>
          <w:rFonts w:hint="eastAsia" w:cs="Times New Roman"/>
          <w:lang w:val="en-US" w:eastAsia="zh-CN"/>
        </w:rPr>
        <w:t>4</w:t>
      </w:r>
      <w:r>
        <w:rPr>
          <w:rFonts w:hint="eastAsia" w:ascii="Times New Roman" w:hAnsi="Times New Roman" w:cs="Times New Roman"/>
          <w:lang w:val="en-US" w:eastAsia="zh-CN"/>
        </w:rPr>
        <w:t>年12月31日。</w:t>
      </w:r>
    </w:p>
    <w:p w14:paraId="03973BFD">
      <w:pPr>
        <w:widowControl/>
        <w:ind w:firstLine="643"/>
        <w:jc w:val="left"/>
        <w:outlineLvl w:val="1"/>
        <w:rPr>
          <w:rFonts w:eastAsia="楷体" w:cs="楷体"/>
          <w:b/>
          <w:kern w:val="0"/>
          <w:sz w:val="32"/>
          <w:szCs w:val="32"/>
          <w:lang w:bidi="ar"/>
        </w:rPr>
      </w:pPr>
      <w:bookmarkStart w:id="53" w:name="_Toc7504"/>
      <w:bookmarkStart w:id="54" w:name="_Toc61482976"/>
      <w:bookmarkStart w:id="55" w:name="_Toc5298"/>
      <w:bookmarkStart w:id="56" w:name="_Toc61482767"/>
      <w:bookmarkStart w:id="57" w:name="_Toc13452"/>
      <w:bookmarkStart w:id="58" w:name="_Toc10537"/>
      <w:bookmarkStart w:id="59" w:name="_Toc9493293"/>
      <w:bookmarkStart w:id="60" w:name="_Toc1683"/>
      <w:bookmarkStart w:id="61" w:name="_Toc57965939"/>
      <w:bookmarkStart w:id="62" w:name="_Toc61482848"/>
      <w:bookmarkStart w:id="63" w:name="_Toc12021"/>
      <w:bookmarkStart w:id="64" w:name="_Toc25117"/>
      <w:bookmarkStart w:id="65" w:name="_Toc7574"/>
      <w:r>
        <w:rPr>
          <w:rFonts w:hint="eastAsia" w:eastAsia="楷体" w:cs="楷体"/>
          <w:b/>
          <w:kern w:val="0"/>
          <w:sz w:val="32"/>
          <w:szCs w:val="32"/>
          <w:lang w:bidi="ar"/>
        </w:rPr>
        <w:t>（二）绩效评价</w:t>
      </w:r>
      <w:bookmarkEnd w:id="53"/>
      <w:bookmarkEnd w:id="54"/>
      <w:bookmarkEnd w:id="55"/>
      <w:bookmarkEnd w:id="56"/>
      <w:bookmarkEnd w:id="57"/>
      <w:bookmarkEnd w:id="58"/>
      <w:bookmarkEnd w:id="59"/>
      <w:bookmarkEnd w:id="60"/>
      <w:bookmarkEnd w:id="61"/>
      <w:bookmarkEnd w:id="62"/>
      <w:bookmarkEnd w:id="63"/>
      <w:r>
        <w:rPr>
          <w:rFonts w:hint="eastAsia" w:eastAsia="楷体" w:cs="楷体"/>
          <w:b/>
          <w:kern w:val="0"/>
          <w:sz w:val="32"/>
          <w:szCs w:val="32"/>
          <w:lang w:bidi="ar"/>
        </w:rPr>
        <w:t>原则与方法</w:t>
      </w:r>
      <w:bookmarkEnd w:id="64"/>
      <w:bookmarkEnd w:id="65"/>
    </w:p>
    <w:p w14:paraId="2CE8BD15">
      <w:pPr>
        <w:ind w:firstLine="602"/>
        <w:rPr>
          <w:b/>
          <w:bCs/>
          <w:sz w:val="32"/>
          <w:szCs w:val="32"/>
        </w:rPr>
      </w:pPr>
      <w:bookmarkStart w:id="66" w:name="_Toc2553"/>
      <w:r>
        <w:rPr>
          <w:b/>
          <w:bCs/>
          <w:sz w:val="32"/>
          <w:szCs w:val="32"/>
        </w:rPr>
        <w:t>1.绩效评价原则</w:t>
      </w:r>
      <w:bookmarkEnd w:id="66"/>
    </w:p>
    <w:p w14:paraId="585CBFBD">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支出绩效评价严格执行，内蒙古自治区人民政府办公厅关于印发《内蒙古自治区项目支出绩效评价管理办法》（内政办发〔2021〕5号）文件的通知。按照规范的程序进行组织和实施绩效评价工作，对项目绩效或整体绩效进行客观、公正地反映。采用定量与定性分析相结合的方法对评价对象和内容进行分析评价。</w:t>
      </w:r>
    </w:p>
    <w:p w14:paraId="33B57E7E">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次绩效评价秉承科学规范、公平公正、分级分类、绩效相关、公开透明等原则，按照从决策到过程、产出、效果和影响力的绩效逻辑路径，结合办案（业务）经费项目的实际情况，通过指标设计和量化分析检验财政支出的效果。从项目决策、项目管理和项目绩效等方面，综合考察项目的完成情况、取得的成绩及效益，总结经验做法，反思项目实施和管理中的问题，提出合理化的参考意见。以切实提升财政资金管理的科学化、规范化和精细化水平。</w:t>
      </w:r>
    </w:p>
    <w:p w14:paraId="72EFCBAF">
      <w:pPr>
        <w:ind w:firstLine="600"/>
        <w:rPr>
          <w:rFonts w:hint="eastAsia" w:ascii="Times New Roman" w:hAnsi="Times New Roman"/>
          <w:sz w:val="32"/>
          <w:szCs w:val="32"/>
        </w:rPr>
      </w:pPr>
      <w:r>
        <w:rPr>
          <w:rFonts w:hint="eastAsia" w:ascii="Times New Roman" w:hAnsi="Times New Roman"/>
          <w:sz w:val="32"/>
          <w:szCs w:val="32"/>
        </w:rPr>
        <w:t>本次绩效评价工作主要从以下几个原则出发：</w:t>
      </w:r>
    </w:p>
    <w:p w14:paraId="56428AD9">
      <w:pPr>
        <w:bidi w:val="0"/>
        <w:rPr>
          <w:rFonts w:hint="eastAsia" w:ascii="Times New Roman" w:hAnsi="Times New Roman" w:cs="Times New Roman"/>
          <w:lang w:val="en-US" w:eastAsia="zh-CN"/>
        </w:rPr>
      </w:pPr>
      <w:r>
        <w:rPr>
          <w:rFonts w:hint="eastAsia" w:ascii="Times New Roman" w:hAnsi="Times New Roman" w:cs="Times New Roman"/>
          <w:lang w:val="en-US" w:eastAsia="zh-CN"/>
        </w:rPr>
        <w:t>（1）客观公正、标准统一、资料可靠和公开透明；</w:t>
      </w:r>
    </w:p>
    <w:p w14:paraId="70C53EF7">
      <w:pPr>
        <w:bidi w:val="0"/>
        <w:rPr>
          <w:rFonts w:hint="eastAsia" w:ascii="Times New Roman" w:hAnsi="Times New Roman" w:cs="Times New Roman"/>
          <w:lang w:val="en-US" w:eastAsia="zh-CN"/>
        </w:rPr>
      </w:pPr>
      <w:r>
        <w:rPr>
          <w:rFonts w:hint="eastAsia" w:ascii="Times New Roman" w:hAnsi="Times New Roman" w:cs="Times New Roman"/>
          <w:lang w:val="en-US" w:eastAsia="zh-CN"/>
        </w:rPr>
        <w:t>（2）严格执行规定的评价程序，采用定量为主，定性为辅的综合分析方法，科学合理地对项目资金支出的经济性、效率性和效益性进行评价；</w:t>
      </w:r>
    </w:p>
    <w:p w14:paraId="1AA9A046">
      <w:pPr>
        <w:bidi w:val="0"/>
        <w:rPr>
          <w:rFonts w:hint="eastAsia" w:ascii="Times New Roman" w:hAnsi="Times New Roman" w:cs="Times New Roman"/>
          <w:lang w:val="en-US" w:eastAsia="zh-CN"/>
        </w:rPr>
      </w:pPr>
      <w:r>
        <w:rPr>
          <w:rFonts w:hint="eastAsia" w:ascii="Times New Roman" w:hAnsi="Times New Roman" w:cs="Times New Roman"/>
          <w:lang w:val="en-US" w:eastAsia="zh-CN"/>
        </w:rPr>
        <w:t>（3）针对财政资金具体支出及产出绩效进行评价，评价结果清晰反映支出和产出绩效之间的对应关系，做到绩效相关；</w:t>
      </w:r>
    </w:p>
    <w:p w14:paraId="70CB1009">
      <w:pPr>
        <w:bidi w:val="0"/>
        <w:rPr>
          <w:rFonts w:hint="eastAsia" w:ascii="Times New Roman" w:hAnsi="Times New Roman" w:cs="Times New Roman"/>
          <w:lang w:val="en-US" w:eastAsia="zh-CN"/>
        </w:rPr>
      </w:pPr>
      <w:r>
        <w:rPr>
          <w:rFonts w:hint="eastAsia" w:ascii="Times New Roman" w:hAnsi="Times New Roman" w:cs="Times New Roman"/>
          <w:lang w:val="en-US" w:eastAsia="zh-CN"/>
        </w:rPr>
        <w:t>（4）绩效评价结果应依法依规公开，并自觉接受社会监督。</w:t>
      </w:r>
    </w:p>
    <w:p w14:paraId="50939EFF">
      <w:pPr>
        <w:ind w:firstLine="602"/>
        <w:rPr>
          <w:b/>
          <w:bCs/>
          <w:sz w:val="32"/>
          <w:szCs w:val="32"/>
        </w:rPr>
      </w:pPr>
      <w:r>
        <w:rPr>
          <w:rFonts w:hint="eastAsia"/>
          <w:b/>
          <w:bCs/>
          <w:sz w:val="32"/>
          <w:szCs w:val="32"/>
        </w:rPr>
        <w:t>2</w:t>
      </w:r>
      <w:r>
        <w:rPr>
          <w:b/>
          <w:bCs/>
          <w:sz w:val="32"/>
          <w:szCs w:val="32"/>
        </w:rPr>
        <w:t>.</w:t>
      </w:r>
      <w:r>
        <w:rPr>
          <w:rFonts w:hint="eastAsia"/>
          <w:b/>
          <w:bCs/>
          <w:sz w:val="32"/>
          <w:szCs w:val="32"/>
        </w:rPr>
        <w:t>绩效</w:t>
      </w:r>
      <w:r>
        <w:rPr>
          <w:b/>
          <w:bCs/>
          <w:sz w:val="32"/>
          <w:szCs w:val="32"/>
        </w:rPr>
        <w:t>评价方法</w:t>
      </w:r>
    </w:p>
    <w:p w14:paraId="3A518EE3">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次绩效评价采用全面评价和重点评价相结合、现场评价和非现场评价相结合的方法，采用成本效益分析法、比较分析法、因素分析法、公众评判法、文献法对项目进行评价。在与项目单位充分沟通的基础上，对项目实施过程中的问题进行总结、反思，切实加强财政资金管理的科学化、规范化和精细化水平。</w:t>
      </w:r>
    </w:p>
    <w:p w14:paraId="2D3893CD">
      <w:pPr>
        <w:bidi w:val="0"/>
        <w:rPr>
          <w:rFonts w:hint="eastAsia" w:ascii="Times New Roman" w:hAnsi="Times New Roman" w:cs="Times New Roman"/>
          <w:lang w:val="en-US" w:eastAsia="zh-CN"/>
        </w:rPr>
      </w:pPr>
      <w:r>
        <w:rPr>
          <w:rFonts w:hint="eastAsia" w:ascii="Times New Roman" w:hAnsi="Times New Roman" w:cs="Times New Roman"/>
          <w:lang w:val="en-US" w:eastAsia="zh-CN"/>
        </w:rPr>
        <w:t>（1）成本效益分析法。通过对比分析项目支出与效益，评价项目目标的实现程度，评判是否以最小的成本获得最大的效益。</w:t>
      </w:r>
    </w:p>
    <w:p w14:paraId="1B453901">
      <w:pPr>
        <w:bidi w:val="0"/>
        <w:rPr>
          <w:rFonts w:hint="eastAsia" w:ascii="Times New Roman" w:hAnsi="Times New Roman" w:cs="Times New Roman"/>
          <w:lang w:val="en-US" w:eastAsia="zh-CN"/>
        </w:rPr>
      </w:pPr>
      <w:r>
        <w:rPr>
          <w:rFonts w:hint="eastAsia" w:ascii="Times New Roman" w:hAnsi="Times New Roman" w:cs="Times New Roman"/>
          <w:lang w:val="en-US" w:eastAsia="zh-CN"/>
        </w:rPr>
        <w:t>（2）比较分析法。通过对比项目预期建设目标与实施效果，综合分析预期目标的实现程度。</w:t>
      </w:r>
    </w:p>
    <w:p w14:paraId="545B66CF">
      <w:pPr>
        <w:bidi w:val="0"/>
        <w:rPr>
          <w:rFonts w:hint="eastAsia" w:ascii="Times New Roman" w:hAnsi="Times New Roman" w:cs="Times New Roman"/>
          <w:lang w:val="en-US" w:eastAsia="zh-CN"/>
        </w:rPr>
      </w:pPr>
      <w:r>
        <w:rPr>
          <w:rFonts w:hint="eastAsia" w:ascii="Times New Roman" w:hAnsi="Times New Roman" w:cs="Times New Roman"/>
          <w:lang w:val="en-US" w:eastAsia="zh-CN"/>
        </w:rPr>
        <w:t>（3）因素分析法。通过综合分析影响项目预期建设内容、预期效果实现的内外因素，评价分析预期目标的实现程度，并提出改进措施。</w:t>
      </w:r>
    </w:p>
    <w:p w14:paraId="2A64F21D">
      <w:pPr>
        <w:bidi w:val="0"/>
        <w:rPr>
          <w:rFonts w:hint="eastAsia" w:ascii="Times New Roman" w:hAnsi="Times New Roman" w:cs="Times New Roman"/>
          <w:lang w:val="en-US" w:eastAsia="zh-CN"/>
        </w:rPr>
      </w:pPr>
      <w:r>
        <w:rPr>
          <w:rFonts w:hint="eastAsia" w:ascii="Times New Roman" w:hAnsi="Times New Roman" w:cs="Times New Roman"/>
          <w:lang w:val="en-US" w:eastAsia="zh-CN"/>
        </w:rPr>
        <w:t>（4）文献法。通过搜集、整理、分析国家、内蒙古自治区、通辽市相关的政策文件、管理制度等相关文献资料，了解项目工作开展的背景、目的、意义及相关要求。</w:t>
      </w:r>
    </w:p>
    <w:p w14:paraId="3422E730">
      <w:pPr>
        <w:ind w:firstLine="602"/>
        <w:rPr>
          <w:b/>
          <w:bCs/>
          <w:sz w:val="32"/>
          <w:szCs w:val="32"/>
        </w:rPr>
      </w:pPr>
      <w:bookmarkStart w:id="67" w:name="_Toc4447"/>
      <w:r>
        <w:rPr>
          <w:rFonts w:hint="eastAsia"/>
          <w:b/>
          <w:bCs/>
          <w:sz w:val="32"/>
          <w:szCs w:val="32"/>
        </w:rPr>
        <w:t>3</w:t>
      </w:r>
      <w:r>
        <w:rPr>
          <w:b/>
          <w:bCs/>
          <w:sz w:val="32"/>
          <w:szCs w:val="32"/>
        </w:rPr>
        <w:t>.</w:t>
      </w:r>
      <w:r>
        <w:rPr>
          <w:rFonts w:hint="eastAsia"/>
          <w:b/>
          <w:bCs/>
          <w:sz w:val="32"/>
          <w:szCs w:val="32"/>
        </w:rPr>
        <w:t>绩效</w:t>
      </w:r>
      <w:r>
        <w:rPr>
          <w:b/>
          <w:bCs/>
          <w:sz w:val="32"/>
          <w:szCs w:val="32"/>
        </w:rPr>
        <w:t>评价依据</w:t>
      </w:r>
      <w:bookmarkEnd w:id="67"/>
    </w:p>
    <w:p w14:paraId="3EDD9D43">
      <w:pPr>
        <w:bidi w:val="0"/>
        <w:rPr>
          <w:rFonts w:hint="eastAsia" w:ascii="Times New Roman" w:hAnsi="Times New Roman" w:cs="Times New Roman"/>
          <w:lang w:val="en-US" w:eastAsia="zh-CN"/>
        </w:rPr>
      </w:pPr>
      <w:r>
        <w:rPr>
          <w:rFonts w:hint="eastAsia" w:ascii="Times New Roman" w:hAnsi="Times New Roman" w:cs="Times New Roman"/>
          <w:lang w:val="en-US" w:eastAsia="zh-CN"/>
        </w:rPr>
        <w:t>（1）《中华人民共和国预算法》（2020年修订）；</w:t>
      </w:r>
    </w:p>
    <w:p w14:paraId="45160D4B">
      <w:pPr>
        <w:bidi w:val="0"/>
        <w:rPr>
          <w:rFonts w:hint="eastAsia" w:ascii="Times New Roman" w:hAnsi="Times New Roman" w:cs="Times New Roman"/>
          <w:lang w:val="en-US" w:eastAsia="zh-CN"/>
        </w:rPr>
      </w:pPr>
      <w:r>
        <w:rPr>
          <w:rFonts w:hint="eastAsia" w:ascii="Times New Roman" w:hAnsi="Times New Roman" w:cs="Times New Roman"/>
          <w:lang w:val="en-US" w:eastAsia="zh-CN"/>
        </w:rPr>
        <w:t>（2）《中共中央 国务院关于全面实施预算绩效管理的意见》（中发〔2018〕34号）；</w:t>
      </w:r>
    </w:p>
    <w:p w14:paraId="58A67FB9">
      <w:pPr>
        <w:bidi w:val="0"/>
        <w:rPr>
          <w:rFonts w:hint="eastAsia" w:ascii="Times New Roman" w:hAnsi="Times New Roman" w:cs="Times New Roman"/>
          <w:lang w:val="en-US" w:eastAsia="zh-CN"/>
        </w:rPr>
      </w:pPr>
      <w:r>
        <w:rPr>
          <w:rFonts w:hint="eastAsia" w:ascii="Times New Roman" w:hAnsi="Times New Roman" w:cs="Times New Roman"/>
          <w:lang w:val="en-US" w:eastAsia="zh-CN"/>
        </w:rPr>
        <w:t>（3）《国务院关于进一步深化预算管理制度改革的意见》（国发〔2021〕5号）；</w:t>
      </w:r>
    </w:p>
    <w:p w14:paraId="3BD2BDB7">
      <w:pPr>
        <w:bidi w:val="0"/>
        <w:rPr>
          <w:rFonts w:hint="eastAsia" w:ascii="Times New Roman" w:hAnsi="Times New Roman" w:cs="Times New Roman"/>
          <w:lang w:val="en-US" w:eastAsia="zh-CN"/>
        </w:rPr>
      </w:pPr>
      <w:r>
        <w:rPr>
          <w:rFonts w:hint="eastAsia" w:ascii="Times New Roman" w:hAnsi="Times New Roman" w:cs="Times New Roman"/>
          <w:lang w:val="en-US" w:eastAsia="zh-CN"/>
        </w:rPr>
        <w:t>（4）《项目支出绩效评价管理办法》（财预〔2020〕10号）；</w:t>
      </w:r>
    </w:p>
    <w:p w14:paraId="1A43F980">
      <w:pPr>
        <w:bidi w:val="0"/>
        <w:rPr>
          <w:rFonts w:hint="eastAsia" w:ascii="Times New Roman" w:hAnsi="Times New Roman" w:cs="Times New Roman"/>
          <w:lang w:val="en-US" w:eastAsia="zh-CN"/>
        </w:rPr>
      </w:pPr>
      <w:r>
        <w:rPr>
          <w:rFonts w:hint="eastAsia" w:ascii="Times New Roman" w:hAnsi="Times New Roman" w:cs="Times New Roman"/>
          <w:lang w:val="en-US" w:eastAsia="zh-CN"/>
        </w:rPr>
        <w:t>（5）《内蒙古自治区人民政府办公厅关于印发〈内蒙古自治区项目支出绩效评价管理办法〉的通知》（内政办发〔2021〕5号）；</w:t>
      </w:r>
    </w:p>
    <w:p w14:paraId="0D64E662">
      <w:pPr>
        <w:bidi w:val="0"/>
        <w:rPr>
          <w:rFonts w:hint="eastAsia" w:ascii="Times New Roman" w:hAnsi="Times New Roman" w:cs="Times New Roman"/>
          <w:lang w:val="en-US" w:eastAsia="zh-CN"/>
        </w:rPr>
      </w:pPr>
      <w:r>
        <w:rPr>
          <w:rFonts w:hint="eastAsia" w:ascii="Times New Roman" w:hAnsi="Times New Roman" w:cs="Times New Roman"/>
          <w:lang w:val="en-US" w:eastAsia="zh-CN"/>
        </w:rPr>
        <w:t>（6）《内蒙古自治区人民政府关于进一步深化预算管理制度改革的实施意见》（内政发〔2022〕2号）；</w:t>
      </w:r>
    </w:p>
    <w:p w14:paraId="18B4C2D8">
      <w:pPr>
        <w:bidi w:val="0"/>
        <w:rPr>
          <w:rFonts w:hint="eastAsia" w:ascii="Times New Roman" w:hAnsi="Times New Roman" w:cs="Times New Roman"/>
          <w:lang w:val="en-US" w:eastAsia="zh-CN"/>
        </w:rPr>
      </w:pPr>
      <w:r>
        <w:rPr>
          <w:rFonts w:hint="eastAsia" w:ascii="Times New Roman" w:hAnsi="Times New Roman" w:cs="Times New Roman"/>
          <w:lang w:val="en-US" w:eastAsia="zh-CN"/>
        </w:rPr>
        <w:t>（7）《内蒙古自治区关于全面实施预算绩效管理的实施意见》（内财监〔2019〕1343号）；</w:t>
      </w:r>
    </w:p>
    <w:p w14:paraId="4E28CB13">
      <w:pPr>
        <w:bidi w:val="0"/>
        <w:rPr>
          <w:rFonts w:hint="eastAsia" w:ascii="Times New Roman" w:hAnsi="Times New Roman" w:cs="Times New Roman"/>
          <w:lang w:val="en-US" w:eastAsia="zh-CN"/>
        </w:rPr>
      </w:pPr>
      <w:r>
        <w:rPr>
          <w:rFonts w:hint="eastAsia" w:ascii="Times New Roman" w:hAnsi="Times New Roman" w:cs="Times New Roman"/>
          <w:lang w:val="en-US" w:eastAsia="zh-CN"/>
        </w:rPr>
        <w:t>（8）《内蒙古自治区财政厅关于开展2023年度自治区本级部（单位）绩效自评和部评价工作的通知》（内财绩效〔2024〕14号）；</w:t>
      </w:r>
    </w:p>
    <w:p w14:paraId="581CBD53">
      <w:pPr>
        <w:bidi w:val="0"/>
        <w:rPr>
          <w:rFonts w:hint="default" w:ascii="Times New Roman" w:hAnsi="Times New Roman" w:cs="Times New Roman"/>
          <w:lang w:val="en-US" w:eastAsia="zh-CN"/>
        </w:rPr>
      </w:pPr>
      <w:r>
        <w:rPr>
          <w:rFonts w:hint="eastAsia" w:ascii="Times New Roman" w:hAnsi="Times New Roman" w:cs="Times New Roman"/>
          <w:lang w:val="en-US" w:eastAsia="zh-CN"/>
        </w:rPr>
        <w:t>（9）其他与项目相关佐证资料。</w:t>
      </w:r>
    </w:p>
    <w:p w14:paraId="6CF99C09">
      <w:pPr>
        <w:widowControl/>
        <w:ind w:firstLine="643"/>
        <w:jc w:val="left"/>
        <w:outlineLvl w:val="1"/>
        <w:rPr>
          <w:rFonts w:eastAsia="楷体" w:cs="楷体"/>
          <w:b/>
          <w:kern w:val="0"/>
          <w:sz w:val="32"/>
          <w:szCs w:val="32"/>
          <w:lang w:bidi="ar"/>
        </w:rPr>
      </w:pPr>
      <w:bookmarkStart w:id="68" w:name="_Toc10564"/>
      <w:bookmarkStart w:id="69" w:name="_Toc30745"/>
      <w:r>
        <w:rPr>
          <w:rFonts w:hint="eastAsia" w:eastAsia="楷体" w:cs="楷体"/>
          <w:b/>
          <w:kern w:val="0"/>
          <w:sz w:val="32"/>
          <w:szCs w:val="32"/>
          <w:lang w:bidi="ar"/>
        </w:rPr>
        <w:t>（三）绩效评价思路及指标体系</w:t>
      </w:r>
      <w:bookmarkEnd w:id="68"/>
      <w:bookmarkEnd w:id="69"/>
    </w:p>
    <w:p w14:paraId="2A7D4226">
      <w:pPr>
        <w:ind w:firstLine="602"/>
        <w:rPr>
          <w:rFonts w:hint="eastAsia"/>
          <w:b/>
          <w:bCs/>
          <w:sz w:val="32"/>
          <w:szCs w:val="32"/>
        </w:rPr>
      </w:pPr>
      <w:r>
        <w:rPr>
          <w:rFonts w:hint="eastAsia"/>
          <w:b/>
          <w:bCs/>
          <w:sz w:val="32"/>
          <w:szCs w:val="32"/>
        </w:rPr>
        <w:t>1.绩效评价思路</w:t>
      </w:r>
    </w:p>
    <w:p w14:paraId="2E97FF30">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次绩效评价重点有三个：一是项目目标和预算编制指标。预算编制合理性反映了财政投入的效益，通过分析计划内容与项目目标、预算编制与计划数量和成本标准的匹配性，体现预算绩效管理的重点。二是项目管理情况。重点考察项目过程管理是否规范，项目执行是否与相关政策标准一致。三是项目效益指标。财政公共项目的投入必须体现项目的产出，以及所产生的经济效益、社会效益等效果，这是财政资金使用的关键目标。</w:t>
      </w:r>
    </w:p>
    <w:p w14:paraId="375F3F77">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决策：一是项目立项是否符合法律法规、相关政策、发展规划以及部门职能，用以反映和考核项目立项依据情况；二是分析项目目标与预算内容的关联性，以及项目指标是否量化；三是通过了解预算编制依据、编制方法，分析预算编制的合理性。</w:t>
      </w:r>
    </w:p>
    <w:p w14:paraId="1EAD7E79">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项目过程：一是评判项目执行是否有相关的制度保障；二是评判项目过程制度执行有效性，分析项目实施保障情况。</w:t>
      </w:r>
    </w:p>
    <w:p w14:paraId="5AA4D0CC">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项目产出：通过梳理预算资金的支出结构、支出方向，研究项目产出数量、产出质量、产出时效、产出成本情况。</w:t>
      </w:r>
    </w:p>
    <w:p w14:paraId="7BC0B1D5">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项目效益：综合评价资金投入使用后的经济效益、社会效益、生态效益、可持续影响、服务对象满意度等。</w:t>
      </w:r>
    </w:p>
    <w:p w14:paraId="6E8AC45F">
      <w:pPr>
        <w:ind w:firstLine="602"/>
        <w:rPr>
          <w:sz w:val="32"/>
          <w:szCs w:val="32"/>
        </w:rPr>
      </w:pPr>
      <w:r>
        <w:rPr>
          <w:rFonts w:hint="eastAsia"/>
          <w:b/>
          <w:bCs/>
          <w:sz w:val="32"/>
          <w:szCs w:val="32"/>
        </w:rPr>
        <w:t>2.绩效评价指标</w:t>
      </w:r>
    </w:p>
    <w:p w14:paraId="4443548D">
      <w:pPr>
        <w:bidi w:val="0"/>
        <w:rPr>
          <w:rFonts w:hint="eastAsia" w:ascii="Times New Roman" w:hAnsi="Times New Roman" w:cs="Times New Roman"/>
          <w:lang w:val="en-US" w:eastAsia="zh-CN"/>
        </w:rPr>
      </w:pPr>
      <w:r>
        <w:rPr>
          <w:rFonts w:hint="eastAsia" w:ascii="Times New Roman" w:hAnsi="Times New Roman" w:cs="Times New Roman"/>
          <w:lang w:val="en-US" w:eastAsia="zh-CN"/>
        </w:rPr>
        <w:t>根据上述思路，结合项目实际情况，构建绩效评价指标体系，具体情况详见附件1。</w:t>
      </w:r>
    </w:p>
    <w:p w14:paraId="4843BEDE">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项目绩效评价指标体系由一级指标、二级指标、三级指标构成，总分值100分，数据主要来源于政策文件、管理办法、统计基础数据、实地调研、问卷调查等。</w:t>
      </w:r>
    </w:p>
    <w:p w14:paraId="14B3D133">
      <w:pPr>
        <w:bidi w:val="0"/>
        <w:rPr>
          <w:rFonts w:hint="eastAsia" w:ascii="Times New Roman" w:hAnsi="Times New Roman" w:cs="Times New Roman"/>
          <w:lang w:val="en-US" w:eastAsia="zh-CN"/>
        </w:rPr>
      </w:pPr>
      <w:r>
        <w:rPr>
          <w:rFonts w:hint="eastAsia" w:ascii="Times New Roman" w:hAnsi="Times New Roman" w:cs="Times New Roman"/>
          <w:lang w:val="en-US" w:eastAsia="zh-CN"/>
        </w:rPr>
        <w:t>（1）项目决策：分值15分，从项目立项、绩效目标、资金投入三方面评价项目决策及投入情况。</w:t>
      </w:r>
    </w:p>
    <w:p w14:paraId="6740CBEA">
      <w:pPr>
        <w:bidi w:val="0"/>
        <w:rPr>
          <w:rFonts w:hint="eastAsia" w:ascii="Times New Roman" w:hAnsi="Times New Roman" w:cs="Times New Roman"/>
          <w:lang w:val="en-US" w:eastAsia="zh-CN"/>
        </w:rPr>
      </w:pPr>
      <w:r>
        <w:rPr>
          <w:rFonts w:hint="eastAsia" w:ascii="Times New Roman" w:hAnsi="Times New Roman" w:cs="Times New Roman"/>
          <w:lang w:val="en-US" w:eastAsia="zh-CN"/>
        </w:rPr>
        <w:t>（2）项目过程：分值25分，从资金管理和组织实施两方面评价项目过程情况。</w:t>
      </w:r>
    </w:p>
    <w:p w14:paraId="1F9BC5B6">
      <w:pPr>
        <w:bidi w:val="0"/>
        <w:rPr>
          <w:rFonts w:hint="eastAsia" w:ascii="Times New Roman" w:hAnsi="Times New Roman" w:cs="Times New Roman"/>
          <w:lang w:val="en-US" w:eastAsia="zh-CN"/>
        </w:rPr>
      </w:pPr>
      <w:r>
        <w:rPr>
          <w:rFonts w:hint="eastAsia" w:ascii="Times New Roman" w:hAnsi="Times New Roman" w:cs="Times New Roman"/>
          <w:lang w:val="en-US" w:eastAsia="zh-CN"/>
        </w:rPr>
        <w:t>（3）项目产出：分值30分，从产出数量、产出质量、产出时效、产出成本四方面分析项目实际产出情况。</w:t>
      </w:r>
    </w:p>
    <w:p w14:paraId="1593EA7C">
      <w:pPr>
        <w:bidi w:val="0"/>
        <w:rPr>
          <w:rFonts w:hint="eastAsia" w:ascii="Times New Roman" w:hAnsi="Times New Roman" w:cs="Times New Roman"/>
          <w:lang w:val="en-US" w:eastAsia="zh-CN"/>
        </w:rPr>
      </w:pPr>
      <w:r>
        <w:rPr>
          <w:rFonts w:hint="eastAsia" w:ascii="Times New Roman" w:hAnsi="Times New Roman" w:cs="Times New Roman"/>
          <w:lang w:val="en-US" w:eastAsia="zh-CN"/>
        </w:rPr>
        <w:t>（4）项目效益：分值30分，综合评价分析项目社会效益、可持续影响和服务对象满意度。</w:t>
      </w:r>
    </w:p>
    <w:p w14:paraId="0536C6A8">
      <w:pPr>
        <w:widowControl/>
        <w:ind w:firstLine="643"/>
        <w:jc w:val="left"/>
        <w:outlineLvl w:val="1"/>
        <w:rPr>
          <w:rFonts w:eastAsia="楷体" w:cs="楷体"/>
          <w:b/>
          <w:kern w:val="0"/>
          <w:sz w:val="32"/>
          <w:szCs w:val="32"/>
          <w:lang w:bidi="ar"/>
        </w:rPr>
      </w:pPr>
      <w:bookmarkStart w:id="70" w:name="_Toc9493294"/>
      <w:bookmarkStart w:id="71" w:name="_Toc15238"/>
      <w:bookmarkStart w:id="72" w:name="_Toc24618"/>
      <w:bookmarkStart w:id="73" w:name="_Toc15693"/>
      <w:bookmarkStart w:id="74" w:name="_Toc61482768"/>
      <w:bookmarkStart w:id="75" w:name="_Toc61482849"/>
      <w:bookmarkStart w:id="76" w:name="_Toc61482977"/>
      <w:bookmarkStart w:id="77" w:name="_Toc57965940"/>
      <w:r>
        <w:rPr>
          <w:rFonts w:hint="eastAsia" w:eastAsia="楷体" w:cs="楷体"/>
          <w:b/>
          <w:kern w:val="0"/>
          <w:sz w:val="32"/>
          <w:szCs w:val="32"/>
          <w:lang w:bidi="ar"/>
        </w:rPr>
        <w:t>（四）绩效评价工作过程</w:t>
      </w:r>
      <w:bookmarkEnd w:id="70"/>
      <w:bookmarkEnd w:id="71"/>
      <w:bookmarkEnd w:id="72"/>
      <w:bookmarkEnd w:id="73"/>
      <w:bookmarkEnd w:id="74"/>
      <w:bookmarkEnd w:id="75"/>
      <w:bookmarkEnd w:id="76"/>
      <w:bookmarkEnd w:id="77"/>
    </w:p>
    <w:p w14:paraId="4A4041F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bookmarkStart w:id="78" w:name="_Toc12828"/>
      <w:bookmarkStart w:id="79" w:name="_Toc61482978"/>
      <w:bookmarkStart w:id="80" w:name="_Toc17327"/>
      <w:bookmarkStart w:id="81" w:name="_Toc61482769"/>
      <w:bookmarkStart w:id="82" w:name="_Toc18803"/>
      <w:bookmarkStart w:id="83" w:name="_Toc9493295"/>
      <w:bookmarkStart w:id="84" w:name="_Toc59577470"/>
      <w:bookmarkStart w:id="85" w:name="_Toc57965941"/>
      <w:bookmarkStart w:id="86" w:name="_Toc29176"/>
      <w:bookmarkStart w:id="87" w:name="_Toc61482850"/>
      <w:bookmarkStart w:id="88" w:name="_Toc976"/>
      <w:bookmarkStart w:id="89" w:name="_Toc25561"/>
      <w:r>
        <w:rPr>
          <w:rFonts w:hint="default" w:ascii="仿宋_GB2312" w:hAnsi="宋体" w:eastAsia="仿宋_GB2312" w:cs="仿宋_GB2312"/>
          <w:color w:val="000000"/>
          <w:kern w:val="0"/>
          <w:sz w:val="32"/>
          <w:szCs w:val="32"/>
          <w:lang w:val="en-US" w:eastAsia="zh-CN" w:bidi="ar"/>
        </w:rPr>
        <w:t>根据</w:t>
      </w:r>
      <w:r>
        <w:rPr>
          <w:rFonts w:hint="eastAsia"/>
          <w:color w:val="auto"/>
          <w:sz w:val="32"/>
          <w:szCs w:val="32"/>
          <w:lang w:eastAsia="zh-CN"/>
        </w:rPr>
        <w:t>《内蒙古自治区人民政府办公厅关于印发〈内蒙古自治区项目支出绩效评价管理办法〉的通知》（内政办发〔2021〕5号）</w:t>
      </w:r>
      <w:r>
        <w:rPr>
          <w:rFonts w:hint="default" w:ascii="仿宋_GB2312" w:hAnsi="宋体" w:eastAsia="仿宋_GB2312" w:cs="仿宋_GB2312"/>
          <w:color w:val="000000"/>
          <w:kern w:val="0"/>
          <w:sz w:val="32"/>
          <w:szCs w:val="32"/>
          <w:lang w:val="en-US" w:eastAsia="zh-CN" w:bidi="ar"/>
        </w:rPr>
        <w:t>相关文件要求，本次评价工作共分为数据收集、组织培训、报告撰写、报告完善与提交等</w:t>
      </w:r>
      <w:r>
        <w:rPr>
          <w:rFonts w:hint="eastAsia" w:hAnsi="宋体" w:cs="仿宋_GB2312"/>
          <w:color w:val="000000"/>
          <w:kern w:val="0"/>
          <w:sz w:val="32"/>
          <w:szCs w:val="32"/>
          <w:lang w:val="en-US" w:eastAsia="zh-CN" w:bidi="ar"/>
        </w:rPr>
        <w:t>3</w:t>
      </w:r>
      <w:r>
        <w:rPr>
          <w:rFonts w:hint="default" w:ascii="仿宋_GB2312" w:hAnsi="宋体" w:eastAsia="仿宋_GB2312" w:cs="仿宋_GB2312"/>
          <w:color w:val="000000"/>
          <w:kern w:val="0"/>
          <w:sz w:val="32"/>
          <w:szCs w:val="32"/>
          <w:lang w:val="en-US" w:eastAsia="zh-CN" w:bidi="ar"/>
        </w:rPr>
        <w:t>个环节。各环节工作内容详见下表</w:t>
      </w:r>
      <w:r>
        <w:rPr>
          <w:rFonts w:hint="eastAsia" w:ascii="仿宋_GB2312" w:hAnsi="宋体"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w:t>
      </w:r>
      <w:r>
        <w:rPr>
          <w:rFonts w:hint="eastAsia" w:ascii="仿宋_GB2312" w:hAnsi="宋体"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w:t>
      </w:r>
    </w:p>
    <w:p w14:paraId="4FADD993">
      <w:pPr>
        <w:pStyle w:val="22"/>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表2-1  评价工作时间安排及工作内容</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918"/>
        <w:gridCol w:w="6286"/>
      </w:tblGrid>
      <w:tr w14:paraId="12BA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0" w:type="auto"/>
            <w:shd w:val="clear" w:color="auto" w:fill="auto"/>
            <w:vAlign w:val="center"/>
          </w:tcPr>
          <w:p w14:paraId="4883BC5B">
            <w:pPr>
              <w:spacing w:line="240" w:lineRule="auto"/>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918" w:type="dxa"/>
            <w:shd w:val="clear" w:color="auto" w:fill="auto"/>
            <w:vAlign w:val="center"/>
          </w:tcPr>
          <w:p w14:paraId="5170593C">
            <w:pPr>
              <w:spacing w:line="240" w:lineRule="auto"/>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阶段</w:t>
            </w:r>
          </w:p>
        </w:tc>
        <w:tc>
          <w:tcPr>
            <w:tcW w:w="6286" w:type="dxa"/>
            <w:shd w:val="clear" w:color="auto" w:fill="auto"/>
            <w:vAlign w:val="center"/>
          </w:tcPr>
          <w:p w14:paraId="64241EFF">
            <w:pPr>
              <w:spacing w:line="240" w:lineRule="auto"/>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内容</w:t>
            </w:r>
          </w:p>
        </w:tc>
      </w:tr>
      <w:tr w14:paraId="3138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0" w:type="auto"/>
            <w:vAlign w:val="center"/>
          </w:tcPr>
          <w:p w14:paraId="2D1EC5D2">
            <w:pPr>
              <w:bidi w:val="0"/>
              <w:ind w:left="0" w:leftChars="0" w:firstLine="0" w:firstLineChars="0"/>
              <w:jc w:val="center"/>
              <w:rPr>
                <w:rFonts w:hint="eastAsia"/>
                <w:sz w:val="24"/>
                <w:szCs w:val="24"/>
                <w:lang w:val="en-US" w:eastAsia="zh-CN"/>
              </w:rPr>
            </w:pPr>
            <w:r>
              <w:rPr>
                <w:rFonts w:hint="eastAsia"/>
                <w:sz w:val="24"/>
                <w:szCs w:val="24"/>
                <w:lang w:val="en-US" w:eastAsia="zh-CN"/>
              </w:rPr>
              <w:t>1</w:t>
            </w:r>
          </w:p>
        </w:tc>
        <w:tc>
          <w:tcPr>
            <w:tcW w:w="1918" w:type="dxa"/>
            <w:vAlign w:val="center"/>
          </w:tcPr>
          <w:p w14:paraId="258B8E46">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数据收集</w:t>
            </w:r>
          </w:p>
        </w:tc>
        <w:tc>
          <w:tcPr>
            <w:tcW w:w="6286" w:type="dxa"/>
            <w:vAlign w:val="center"/>
          </w:tcPr>
          <w:p w14:paraId="05A575F1">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采集项目相关数据，报告立项决策、项目审批、项目实施、项目效益、资金管理等方面材料。</w:t>
            </w:r>
          </w:p>
        </w:tc>
      </w:tr>
      <w:tr w14:paraId="16F5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center"/>
          </w:tcPr>
          <w:p w14:paraId="51A90884">
            <w:pPr>
              <w:bidi w:val="0"/>
              <w:ind w:left="0" w:leftChars="0" w:firstLine="0" w:firstLineChars="0"/>
              <w:jc w:val="center"/>
              <w:rPr>
                <w:rFonts w:hint="eastAsia"/>
                <w:sz w:val="24"/>
                <w:szCs w:val="24"/>
                <w:lang w:val="en-US" w:eastAsia="zh-CN"/>
              </w:rPr>
            </w:pPr>
            <w:r>
              <w:rPr>
                <w:rFonts w:hint="eastAsia"/>
                <w:sz w:val="24"/>
                <w:szCs w:val="24"/>
                <w:lang w:val="en-US" w:eastAsia="zh-CN"/>
              </w:rPr>
              <w:t>2</w:t>
            </w:r>
          </w:p>
        </w:tc>
        <w:tc>
          <w:tcPr>
            <w:tcW w:w="1918" w:type="dxa"/>
            <w:vAlign w:val="center"/>
          </w:tcPr>
          <w:p w14:paraId="3C6BD2CF">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组织培训</w:t>
            </w:r>
          </w:p>
        </w:tc>
        <w:tc>
          <w:tcPr>
            <w:tcW w:w="6286" w:type="dxa"/>
            <w:vAlign w:val="center"/>
          </w:tcPr>
          <w:p w14:paraId="5209ACC8">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评价工作组对项目相关人员进行培训，主要包括评价要求、方法、流程、重点关注内容等。</w:t>
            </w:r>
          </w:p>
        </w:tc>
      </w:tr>
      <w:tr w14:paraId="128E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0" w:type="auto"/>
            <w:vAlign w:val="center"/>
          </w:tcPr>
          <w:p w14:paraId="72BF866C">
            <w:pPr>
              <w:bidi w:val="0"/>
              <w:ind w:left="0" w:leftChars="0" w:firstLine="0" w:firstLineChars="0"/>
              <w:jc w:val="center"/>
              <w:rPr>
                <w:rFonts w:hint="eastAsia"/>
                <w:sz w:val="24"/>
                <w:szCs w:val="24"/>
                <w:lang w:val="en-US" w:eastAsia="zh-CN"/>
              </w:rPr>
            </w:pPr>
            <w:r>
              <w:rPr>
                <w:rFonts w:hint="eastAsia"/>
                <w:sz w:val="24"/>
                <w:szCs w:val="24"/>
                <w:lang w:val="en-US" w:eastAsia="zh-CN"/>
              </w:rPr>
              <w:t>3</w:t>
            </w:r>
          </w:p>
        </w:tc>
        <w:tc>
          <w:tcPr>
            <w:tcW w:w="1918" w:type="dxa"/>
            <w:vAlign w:val="center"/>
          </w:tcPr>
          <w:p w14:paraId="2DD367A5">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报告撰写</w:t>
            </w:r>
          </w:p>
        </w:tc>
        <w:tc>
          <w:tcPr>
            <w:tcW w:w="6286" w:type="dxa"/>
            <w:vAlign w:val="center"/>
          </w:tcPr>
          <w:p w14:paraId="10B256B4">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评价工作组根据数据收集情况，撰写项目绩效评价报告。</w:t>
            </w:r>
          </w:p>
        </w:tc>
      </w:tr>
    </w:tbl>
    <w:p w14:paraId="69DA26F4">
      <w:pPr>
        <w:keepNext w:val="0"/>
        <w:keepLines w:val="0"/>
        <w:pageBreakBefore w:val="0"/>
        <w:widowControl w:val="0"/>
        <w:kinsoku/>
        <w:wordWrap/>
        <w:overflowPunct/>
        <w:topLinePunct w:val="0"/>
        <w:autoSpaceDE/>
        <w:autoSpaceDN/>
        <w:bidi w:val="0"/>
        <w:adjustRightInd w:val="0"/>
        <w:snapToGrid w:val="0"/>
        <w:spacing w:line="240" w:lineRule="auto"/>
        <w:ind w:firstLine="602"/>
        <w:textAlignment w:val="auto"/>
        <w:rPr>
          <w:rFonts w:hint="eastAsia" w:ascii="仿宋_GB2312" w:hAnsi="宋体" w:eastAsia="仿宋_GB2312" w:cs="仿宋_GB2312"/>
          <w:b/>
          <w:bCs/>
          <w:color w:val="000000"/>
          <w:kern w:val="0"/>
          <w:sz w:val="32"/>
          <w:szCs w:val="32"/>
          <w:lang w:val="en-US" w:eastAsia="zh-CN" w:bidi="ar"/>
        </w:rPr>
      </w:pPr>
    </w:p>
    <w:p w14:paraId="340AB429">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w:t>
      </w:r>
      <w:r>
        <w:rPr>
          <w:rFonts w:hint="default" w:ascii="仿宋_GB2312" w:hAnsi="宋体" w:eastAsia="仿宋_GB2312" w:cs="仿宋_GB2312"/>
          <w:b/>
          <w:bCs/>
          <w:color w:val="000000"/>
          <w:kern w:val="0"/>
          <w:sz w:val="32"/>
          <w:szCs w:val="32"/>
          <w:lang w:val="en-US" w:eastAsia="zh-CN" w:bidi="ar"/>
        </w:rPr>
        <w:t>数据采集</w:t>
      </w:r>
    </w:p>
    <w:p w14:paraId="00B1023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首先通过项目实施方案、经验总结、检查分析报告等，通过整理归纳，找出关键和重点。其次评价工作组对报送的资料进行收集、分类整理，对材料的完整性、填报数据的准确性进行审核，并将审核过程中发现的问题、审核意见记录清楚，为开展评价提供参考；通过书面材料熟悉项目实施单位、实施项目的情况，包括项目申报材料、资金管理办法、指导意见、项目规划等，通过对项目制度性文件以及申报基础资料的熟悉掌握，确保绩效评价推进有序、明确重点。为下一步指标评价标准设定做好基础准备，确保评价结果客观公正。</w:t>
      </w:r>
    </w:p>
    <w:p w14:paraId="47A92D8A">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2.</w:t>
      </w:r>
      <w:r>
        <w:rPr>
          <w:rFonts w:hint="default" w:ascii="仿宋_GB2312" w:hAnsi="宋体" w:eastAsia="仿宋_GB2312" w:cs="仿宋_GB2312"/>
          <w:b/>
          <w:bCs/>
          <w:color w:val="000000"/>
          <w:kern w:val="0"/>
          <w:sz w:val="32"/>
          <w:szCs w:val="32"/>
          <w:lang w:val="en-US" w:eastAsia="zh-CN" w:bidi="ar"/>
        </w:rPr>
        <w:t>组织培训</w:t>
      </w:r>
    </w:p>
    <w:p w14:paraId="51E886A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评价工作组承接项目后，组建了由绩效管理、财务管理等人员组成的评价团队；组织对参与本次评价的相关人员进行培训，对人员职责进行明确。培训内容包括：工作纪律要求、保密协议、评价内容、评价方法、操作规程、时间计划安排、应急处理等事项，并确定现场调查组总负责、总协调人员，以保障项目顺利开展。</w:t>
      </w:r>
    </w:p>
    <w:p w14:paraId="3FF93BA9">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3.</w:t>
      </w:r>
      <w:r>
        <w:rPr>
          <w:rFonts w:hint="default" w:ascii="仿宋_GB2312" w:hAnsi="宋体" w:eastAsia="仿宋_GB2312" w:cs="仿宋_GB2312"/>
          <w:b/>
          <w:bCs/>
          <w:color w:val="000000"/>
          <w:kern w:val="0"/>
          <w:sz w:val="32"/>
          <w:szCs w:val="32"/>
          <w:lang w:val="en-US" w:eastAsia="zh-CN" w:bidi="ar"/>
        </w:rPr>
        <w:t>报告撰写</w:t>
      </w:r>
    </w:p>
    <w:p w14:paraId="2B23747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cs="仿宋_GB2312"/>
          <w:szCs w:val="30"/>
        </w:rPr>
      </w:pPr>
      <w:r>
        <w:rPr>
          <w:rFonts w:hint="default" w:ascii="仿宋_GB2312" w:hAnsi="宋体" w:eastAsia="仿宋_GB2312" w:cs="仿宋_GB2312"/>
          <w:color w:val="000000"/>
          <w:kern w:val="0"/>
          <w:sz w:val="32"/>
          <w:szCs w:val="32"/>
          <w:lang w:val="en-US" w:eastAsia="zh-CN" w:bidi="ar"/>
        </w:rPr>
        <w:t>评价工作组对收集的相关材料进行全面整理汇总，对采集的基础数据进行梳理，结合实地勘察情况，对专项资金的决策、过程、产出和效益等情况进行全面、系统地分析，剖析存在问题，提出建议，形成初步评价意见并撰写绩效评价报告初稿。</w:t>
      </w:r>
    </w:p>
    <w:p w14:paraId="5F530E7E">
      <w:pPr>
        <w:widowControl/>
        <w:ind w:firstLine="640"/>
        <w:jc w:val="left"/>
        <w:outlineLvl w:val="0"/>
        <w:rPr>
          <w:rFonts w:eastAsia="黑体" w:cs="黑体"/>
          <w:kern w:val="0"/>
          <w:sz w:val="32"/>
          <w:szCs w:val="32"/>
          <w:lang w:bidi="ar"/>
        </w:rPr>
      </w:pPr>
      <w:bookmarkStart w:id="90" w:name="_Toc6986"/>
      <w:bookmarkStart w:id="91" w:name="_Toc15196"/>
      <w:r>
        <w:rPr>
          <w:rFonts w:hint="eastAsia" w:eastAsia="黑体" w:cs="黑体"/>
          <w:kern w:val="0"/>
          <w:sz w:val="32"/>
          <w:szCs w:val="32"/>
          <w:lang w:bidi="ar"/>
        </w:rPr>
        <w:t>三、综合评价情况及评价结论</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242CC10">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本次绩效评价采用定性评价和定量评价相结合的方法，总分值为100分。本次绩效评价结果分为四档：</w:t>
      </w:r>
    </w:p>
    <w:p w14:paraId="6D82DF10">
      <w:pPr>
        <w:bidi w:val="0"/>
        <w:rPr>
          <w:rFonts w:hint="eastAsia" w:ascii="Times New Roman" w:hAnsi="Times New Roman" w:cs="Times New Roman"/>
          <w:lang w:val="en-US" w:eastAsia="zh-CN"/>
        </w:rPr>
      </w:pPr>
      <w:r>
        <w:rPr>
          <w:rFonts w:hint="eastAsia" w:ascii="Times New Roman" w:hAnsi="Times New Roman" w:cs="Times New Roman"/>
          <w:lang w:val="en-US" w:eastAsia="zh-CN"/>
        </w:rPr>
        <w:t>综合得分在90—100分（含90分）为优；</w:t>
      </w:r>
    </w:p>
    <w:p w14:paraId="45A90510">
      <w:pPr>
        <w:bidi w:val="0"/>
        <w:rPr>
          <w:rFonts w:hint="eastAsia" w:ascii="Times New Roman" w:hAnsi="Times New Roman" w:cs="Times New Roman"/>
          <w:lang w:val="en-US" w:eastAsia="zh-CN"/>
        </w:rPr>
      </w:pPr>
      <w:r>
        <w:rPr>
          <w:rFonts w:hint="eastAsia" w:ascii="Times New Roman" w:hAnsi="Times New Roman" w:cs="Times New Roman"/>
          <w:lang w:val="en-US" w:eastAsia="zh-CN"/>
        </w:rPr>
        <w:t>综合得分在80—90分（含80分）为良；</w:t>
      </w:r>
    </w:p>
    <w:p w14:paraId="5B6F9E6E">
      <w:pPr>
        <w:bidi w:val="0"/>
        <w:rPr>
          <w:rFonts w:hint="eastAsia" w:ascii="Times New Roman" w:hAnsi="Times New Roman" w:cs="Times New Roman"/>
          <w:lang w:val="en-US" w:eastAsia="zh-CN"/>
        </w:rPr>
      </w:pPr>
      <w:r>
        <w:rPr>
          <w:rFonts w:hint="eastAsia" w:ascii="Times New Roman" w:hAnsi="Times New Roman" w:cs="Times New Roman"/>
          <w:lang w:val="en-US" w:eastAsia="zh-CN"/>
        </w:rPr>
        <w:t>综合得分在60—80分（含60分）为中；</w:t>
      </w:r>
    </w:p>
    <w:p w14:paraId="541A0B3F">
      <w:pPr>
        <w:bidi w:val="0"/>
        <w:rPr>
          <w:rFonts w:hint="eastAsia" w:ascii="Times New Roman" w:hAnsi="Times New Roman" w:cs="Times New Roman"/>
          <w:lang w:val="en-US" w:eastAsia="zh-CN"/>
        </w:rPr>
      </w:pPr>
      <w:r>
        <w:rPr>
          <w:rFonts w:hint="eastAsia" w:ascii="Times New Roman" w:hAnsi="Times New Roman" w:cs="Times New Roman"/>
          <w:lang w:val="en-US" w:eastAsia="zh-CN"/>
        </w:rPr>
        <w:t>综合得分在60分以下为差。</w:t>
      </w:r>
    </w:p>
    <w:p w14:paraId="551AD014">
      <w:pPr>
        <w:widowControl/>
        <w:ind w:firstLine="643"/>
        <w:jc w:val="left"/>
        <w:outlineLvl w:val="1"/>
        <w:rPr>
          <w:rFonts w:eastAsia="楷体" w:cs="楷体"/>
          <w:b/>
          <w:kern w:val="0"/>
          <w:sz w:val="32"/>
          <w:szCs w:val="32"/>
          <w:lang w:bidi="ar"/>
        </w:rPr>
      </w:pPr>
      <w:bookmarkStart w:id="92" w:name="_Toc7012"/>
      <w:bookmarkStart w:id="93" w:name="_Toc57965942"/>
      <w:bookmarkStart w:id="94" w:name="_Toc61482770"/>
      <w:bookmarkStart w:id="95" w:name="_Toc61482851"/>
      <w:bookmarkStart w:id="96" w:name="_Toc61482979"/>
      <w:bookmarkStart w:id="97" w:name="_Toc3924"/>
      <w:bookmarkStart w:id="98" w:name="_Toc16644"/>
      <w:r>
        <w:rPr>
          <w:rFonts w:hint="eastAsia" w:eastAsia="楷体" w:cs="楷体"/>
          <w:b/>
          <w:kern w:val="0"/>
          <w:sz w:val="32"/>
          <w:szCs w:val="32"/>
          <w:lang w:bidi="ar"/>
        </w:rPr>
        <w:t>（一）综合评价</w:t>
      </w:r>
      <w:bookmarkEnd w:id="92"/>
      <w:bookmarkEnd w:id="93"/>
      <w:bookmarkEnd w:id="94"/>
      <w:bookmarkEnd w:id="95"/>
      <w:bookmarkEnd w:id="96"/>
      <w:r>
        <w:rPr>
          <w:rFonts w:hint="eastAsia" w:eastAsia="楷体" w:cs="楷体"/>
          <w:b/>
          <w:kern w:val="0"/>
          <w:sz w:val="32"/>
          <w:szCs w:val="32"/>
          <w:lang w:bidi="ar"/>
        </w:rPr>
        <w:t>结论</w:t>
      </w:r>
      <w:bookmarkEnd w:id="97"/>
      <w:bookmarkEnd w:id="98"/>
    </w:p>
    <w:p w14:paraId="1ACEA154">
      <w:pPr>
        <w:bidi w:val="0"/>
        <w:rPr>
          <w:rFonts w:hint="eastAsia" w:ascii="Times New Roman" w:hAnsi="Times New Roman" w:cs="Times New Roman"/>
          <w:lang w:val="en-US" w:eastAsia="zh-CN"/>
        </w:rPr>
      </w:pPr>
      <w:r>
        <w:rPr>
          <w:rFonts w:hint="eastAsia" w:ascii="Times New Roman" w:hAnsi="Times New Roman" w:cs="Times New Roman"/>
          <w:lang w:val="en-US" w:eastAsia="zh-CN"/>
        </w:rPr>
        <w:t>评价工作组在基础资料分析及处理的基础上，对办案（业务）经费项目进行客观的绩效评价，综合得分</w:t>
      </w:r>
      <w:r>
        <w:rPr>
          <w:rFonts w:hint="eastAsia" w:cs="Times New Roman"/>
          <w:lang w:val="en-US" w:eastAsia="zh-CN"/>
        </w:rPr>
        <w:t>95.65</w:t>
      </w:r>
      <w:r>
        <w:rPr>
          <w:rFonts w:hint="eastAsia" w:ascii="Times New Roman" w:hAnsi="Times New Roman" w:cs="Times New Roman"/>
          <w:lang w:val="en-US" w:eastAsia="zh-CN"/>
        </w:rPr>
        <w:t>分，评价等级“优”，具体得分情况详见表3-1。</w:t>
      </w:r>
    </w:p>
    <w:p w14:paraId="6EE5F8EB">
      <w:pPr>
        <w:ind w:firstLine="0" w:firstLineChars="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表3-</w:t>
      </w:r>
      <w:r>
        <w:rPr>
          <w:rFonts w:ascii="仿宋" w:hAnsi="仿宋" w:eastAsia="仿宋" w:cs="仿宋"/>
          <w:b/>
          <w:bCs/>
          <w:color w:val="auto"/>
          <w:sz w:val="24"/>
          <w:highlight w:val="none"/>
        </w:rPr>
        <w:t>1</w:t>
      </w:r>
      <w:r>
        <w:rPr>
          <w:rFonts w:hint="eastAsia" w:ascii="仿宋" w:hAnsi="仿宋" w:eastAsia="仿宋" w:cs="仿宋"/>
          <w:b/>
          <w:bCs/>
          <w:color w:val="auto"/>
          <w:sz w:val="24"/>
          <w:highlight w:val="none"/>
        </w:rPr>
        <w:t xml:space="preserve">  绩效评价得分表</w:t>
      </w:r>
    </w:p>
    <w:tbl>
      <w:tblPr>
        <w:tblStyle w:val="23"/>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80"/>
        <w:gridCol w:w="1904"/>
        <w:gridCol w:w="1907"/>
        <w:gridCol w:w="1908"/>
      </w:tblGrid>
      <w:tr w14:paraId="04B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712" w:type="pct"/>
            <w:tcBorders>
              <w:top w:val="single" w:color="auto" w:sz="12" w:space="0"/>
              <w:left w:val="nil"/>
              <w:bottom w:val="single" w:color="auto" w:sz="4" w:space="0"/>
            </w:tcBorders>
            <w:shd w:val="clear" w:color="auto" w:fill="auto"/>
            <w:noWrap/>
            <w:tcMar>
              <w:top w:w="15" w:type="dxa"/>
              <w:left w:w="15" w:type="dxa"/>
              <w:right w:w="15" w:type="dxa"/>
            </w:tcMar>
            <w:vAlign w:val="center"/>
          </w:tcPr>
          <w:p w14:paraId="424363A5">
            <w:pPr>
              <w:spacing w:line="240" w:lineRule="auto"/>
              <w:ind w:firstLine="0" w:firstLineChars="0"/>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指标</w:t>
            </w:r>
          </w:p>
        </w:tc>
        <w:tc>
          <w:tcPr>
            <w:tcW w:w="1094" w:type="pct"/>
            <w:tcBorders>
              <w:top w:val="single" w:color="auto" w:sz="12" w:space="0"/>
              <w:bottom w:val="single" w:color="auto" w:sz="4" w:space="0"/>
            </w:tcBorders>
            <w:shd w:val="clear" w:color="auto" w:fill="auto"/>
            <w:noWrap/>
            <w:tcMar>
              <w:top w:w="15" w:type="dxa"/>
              <w:left w:w="15" w:type="dxa"/>
              <w:right w:w="15" w:type="dxa"/>
            </w:tcMar>
            <w:vAlign w:val="center"/>
          </w:tcPr>
          <w:p w14:paraId="0DFAD579">
            <w:pPr>
              <w:spacing w:line="240" w:lineRule="auto"/>
              <w:ind w:firstLine="0" w:firstLineChars="0"/>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分值</w:t>
            </w:r>
          </w:p>
        </w:tc>
        <w:tc>
          <w:tcPr>
            <w:tcW w:w="1096" w:type="pct"/>
            <w:tcBorders>
              <w:top w:val="single" w:color="auto" w:sz="12" w:space="0"/>
              <w:bottom w:val="single" w:color="auto" w:sz="4" w:space="0"/>
              <w:right w:val="nil"/>
            </w:tcBorders>
            <w:shd w:val="clear" w:color="auto" w:fill="auto"/>
            <w:noWrap/>
            <w:tcMar>
              <w:top w:w="15" w:type="dxa"/>
              <w:left w:w="15" w:type="dxa"/>
              <w:right w:w="15" w:type="dxa"/>
            </w:tcMar>
            <w:vAlign w:val="center"/>
          </w:tcPr>
          <w:p w14:paraId="62CF0EFB">
            <w:pPr>
              <w:spacing w:line="240" w:lineRule="auto"/>
              <w:ind w:firstLine="0" w:firstLineChars="0"/>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评分</w:t>
            </w:r>
          </w:p>
        </w:tc>
        <w:tc>
          <w:tcPr>
            <w:tcW w:w="1096" w:type="pct"/>
            <w:tcBorders>
              <w:top w:val="single" w:color="auto" w:sz="12" w:space="0"/>
              <w:bottom w:val="single" w:color="auto" w:sz="4" w:space="0"/>
              <w:right w:val="nil"/>
            </w:tcBorders>
            <w:shd w:val="clear" w:color="auto" w:fill="auto"/>
            <w:noWrap/>
            <w:tcMar>
              <w:top w:w="15" w:type="dxa"/>
              <w:left w:w="15" w:type="dxa"/>
              <w:right w:w="15" w:type="dxa"/>
            </w:tcMar>
            <w:vAlign w:val="center"/>
          </w:tcPr>
          <w:p w14:paraId="70D65BE7">
            <w:pPr>
              <w:spacing w:line="240" w:lineRule="auto"/>
              <w:ind w:firstLine="0" w:firstLineChars="0"/>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得分率</w:t>
            </w:r>
          </w:p>
        </w:tc>
      </w:tr>
      <w:tr w14:paraId="546F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12" w:type="pct"/>
            <w:tcBorders>
              <w:top w:val="single" w:color="auto" w:sz="4" w:space="0"/>
              <w:left w:val="nil"/>
              <w:bottom w:val="single" w:color="auto" w:sz="4" w:space="0"/>
            </w:tcBorders>
            <w:shd w:val="clear" w:color="auto" w:fill="auto"/>
            <w:noWrap/>
            <w:tcMar>
              <w:top w:w="15" w:type="dxa"/>
              <w:left w:w="15" w:type="dxa"/>
              <w:right w:w="15" w:type="dxa"/>
            </w:tcMar>
            <w:vAlign w:val="center"/>
          </w:tcPr>
          <w:p w14:paraId="61823BE2">
            <w:pPr>
              <w:spacing w:line="240" w:lineRule="auto"/>
              <w:ind w:firstLine="0" w:firstLineChars="0"/>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项目决策</w:t>
            </w:r>
          </w:p>
        </w:tc>
        <w:tc>
          <w:tcPr>
            <w:tcW w:w="1094" w:type="pct"/>
            <w:tcBorders>
              <w:top w:val="single" w:color="auto" w:sz="4" w:space="0"/>
              <w:bottom w:val="single" w:color="auto" w:sz="4" w:space="0"/>
            </w:tcBorders>
            <w:shd w:val="clear" w:color="auto" w:fill="auto"/>
            <w:noWrap/>
            <w:tcMar>
              <w:top w:w="15" w:type="dxa"/>
              <w:left w:w="15" w:type="dxa"/>
              <w:right w:w="15" w:type="dxa"/>
            </w:tcMar>
            <w:vAlign w:val="center"/>
          </w:tcPr>
          <w:p w14:paraId="12474F32">
            <w:pPr>
              <w:spacing w:line="240" w:lineRule="auto"/>
              <w:ind w:firstLine="0" w:firstLineChars="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15</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14:paraId="7D5F625A">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13</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14:paraId="58827E21">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86.67%</w:t>
            </w:r>
          </w:p>
        </w:tc>
      </w:tr>
      <w:tr w14:paraId="2F65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12" w:type="pct"/>
            <w:tcBorders>
              <w:top w:val="single" w:color="auto" w:sz="4" w:space="0"/>
              <w:left w:val="nil"/>
              <w:bottom w:val="single" w:color="auto" w:sz="4" w:space="0"/>
            </w:tcBorders>
            <w:shd w:val="clear" w:color="auto" w:fill="auto"/>
            <w:noWrap/>
            <w:tcMar>
              <w:top w:w="15" w:type="dxa"/>
              <w:left w:w="15" w:type="dxa"/>
              <w:right w:w="15" w:type="dxa"/>
            </w:tcMar>
            <w:vAlign w:val="center"/>
          </w:tcPr>
          <w:p w14:paraId="3BC5F235">
            <w:pPr>
              <w:spacing w:line="240" w:lineRule="auto"/>
              <w:ind w:firstLine="0" w:firstLineChars="0"/>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项目过程</w:t>
            </w:r>
          </w:p>
        </w:tc>
        <w:tc>
          <w:tcPr>
            <w:tcW w:w="1094" w:type="pct"/>
            <w:tcBorders>
              <w:top w:val="single" w:color="auto" w:sz="4" w:space="0"/>
              <w:bottom w:val="single" w:color="auto" w:sz="4" w:space="0"/>
            </w:tcBorders>
            <w:shd w:val="clear" w:color="auto" w:fill="auto"/>
            <w:noWrap/>
            <w:tcMar>
              <w:top w:w="15" w:type="dxa"/>
              <w:left w:w="15" w:type="dxa"/>
              <w:right w:w="15" w:type="dxa"/>
            </w:tcMar>
            <w:vAlign w:val="center"/>
          </w:tcPr>
          <w:p w14:paraId="26B24F90">
            <w:pPr>
              <w:spacing w:line="240" w:lineRule="auto"/>
              <w:ind w:firstLine="0" w:firstLineChars="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25</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14:paraId="2C35454A">
            <w:pPr>
              <w:spacing w:line="240" w:lineRule="auto"/>
              <w:ind w:firstLine="0" w:firstLineChars="0"/>
              <w:jc w:val="center"/>
              <w:textAlignment w:val="center"/>
              <w:rPr>
                <w:rFonts w:hint="default" w:ascii="仿宋" w:hAnsi="仿宋" w:eastAsia="仿宋" w:cs="仿宋"/>
                <w:color w:val="auto"/>
                <w:kern w:val="0"/>
                <w:sz w:val="21"/>
                <w:szCs w:val="21"/>
                <w:highlight w:val="yellow"/>
                <w:lang w:val="en-US" w:eastAsia="zh-CN" w:bidi="ar"/>
              </w:rPr>
            </w:pPr>
            <w:r>
              <w:rPr>
                <w:rFonts w:hint="eastAsia" w:ascii="仿宋" w:hAnsi="仿宋" w:eastAsia="仿宋" w:cs="仿宋"/>
                <w:color w:val="auto"/>
                <w:kern w:val="0"/>
                <w:sz w:val="21"/>
                <w:szCs w:val="21"/>
                <w:highlight w:val="none"/>
                <w:lang w:val="en-US" w:eastAsia="zh-CN" w:bidi="ar"/>
              </w:rPr>
              <w:t>25</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14:paraId="67BADDB0">
            <w:pPr>
              <w:spacing w:line="240" w:lineRule="auto"/>
              <w:ind w:firstLine="0" w:firstLineChars="0"/>
              <w:jc w:val="center"/>
              <w:textAlignment w:val="center"/>
              <w:rPr>
                <w:rFonts w:hint="default" w:ascii="仿宋" w:hAnsi="仿宋" w:eastAsia="仿宋" w:cs="仿宋"/>
                <w:color w:val="auto"/>
                <w:kern w:val="0"/>
                <w:sz w:val="21"/>
                <w:szCs w:val="21"/>
                <w:highlight w:val="yellow"/>
                <w:lang w:val="en-US" w:eastAsia="zh-CN" w:bidi="ar"/>
              </w:rPr>
            </w:pPr>
            <w:r>
              <w:rPr>
                <w:rFonts w:hint="eastAsia" w:ascii="仿宋" w:hAnsi="仿宋" w:eastAsia="仿宋" w:cs="仿宋"/>
                <w:color w:val="auto"/>
                <w:kern w:val="0"/>
                <w:sz w:val="21"/>
                <w:szCs w:val="21"/>
                <w:highlight w:val="none"/>
                <w:lang w:val="en-US" w:eastAsia="zh-CN" w:bidi="ar"/>
              </w:rPr>
              <w:t>100%</w:t>
            </w:r>
          </w:p>
        </w:tc>
      </w:tr>
      <w:tr w14:paraId="2270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12" w:type="pct"/>
            <w:tcBorders>
              <w:top w:val="single" w:color="auto" w:sz="4" w:space="0"/>
              <w:left w:val="nil"/>
              <w:bottom w:val="single" w:color="auto" w:sz="4" w:space="0"/>
            </w:tcBorders>
            <w:shd w:val="clear" w:color="auto" w:fill="auto"/>
            <w:noWrap/>
            <w:tcMar>
              <w:top w:w="15" w:type="dxa"/>
              <w:left w:w="15" w:type="dxa"/>
              <w:right w:w="15" w:type="dxa"/>
            </w:tcMar>
            <w:vAlign w:val="center"/>
          </w:tcPr>
          <w:p w14:paraId="2EBC278D">
            <w:pPr>
              <w:spacing w:line="240" w:lineRule="auto"/>
              <w:ind w:firstLine="0" w:firstLineChars="0"/>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项目产出</w:t>
            </w:r>
          </w:p>
        </w:tc>
        <w:tc>
          <w:tcPr>
            <w:tcW w:w="1094" w:type="pct"/>
            <w:tcBorders>
              <w:top w:val="single" w:color="auto" w:sz="4" w:space="0"/>
              <w:bottom w:val="single" w:color="auto" w:sz="4" w:space="0"/>
            </w:tcBorders>
            <w:shd w:val="clear" w:color="auto" w:fill="auto"/>
            <w:noWrap/>
            <w:tcMar>
              <w:top w:w="15" w:type="dxa"/>
              <w:left w:w="15" w:type="dxa"/>
              <w:right w:w="15" w:type="dxa"/>
            </w:tcMar>
            <w:vAlign w:val="center"/>
          </w:tcPr>
          <w:p w14:paraId="12CF9942">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30</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14:paraId="1484D0E2">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28</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14:paraId="35889C85">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93.33%</w:t>
            </w:r>
          </w:p>
        </w:tc>
      </w:tr>
      <w:tr w14:paraId="29FE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12" w:type="pct"/>
            <w:tcBorders>
              <w:top w:val="single" w:color="auto" w:sz="4" w:space="0"/>
              <w:left w:val="nil"/>
              <w:bottom w:val="single" w:color="auto" w:sz="4" w:space="0"/>
            </w:tcBorders>
            <w:shd w:val="clear" w:color="auto" w:fill="auto"/>
            <w:noWrap/>
            <w:tcMar>
              <w:top w:w="15" w:type="dxa"/>
              <w:left w:w="15" w:type="dxa"/>
              <w:right w:w="15" w:type="dxa"/>
            </w:tcMar>
            <w:vAlign w:val="center"/>
          </w:tcPr>
          <w:p w14:paraId="4608B657">
            <w:pPr>
              <w:spacing w:line="240" w:lineRule="auto"/>
              <w:ind w:firstLine="0" w:firstLineChars="0"/>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项目效益</w:t>
            </w:r>
          </w:p>
        </w:tc>
        <w:tc>
          <w:tcPr>
            <w:tcW w:w="1094" w:type="pct"/>
            <w:tcBorders>
              <w:top w:val="single" w:color="auto" w:sz="4" w:space="0"/>
              <w:bottom w:val="single" w:color="auto" w:sz="4" w:space="0"/>
            </w:tcBorders>
            <w:shd w:val="clear" w:color="auto" w:fill="auto"/>
            <w:noWrap/>
            <w:tcMar>
              <w:top w:w="15" w:type="dxa"/>
              <w:left w:w="15" w:type="dxa"/>
              <w:right w:w="15" w:type="dxa"/>
            </w:tcMar>
            <w:vAlign w:val="center"/>
          </w:tcPr>
          <w:p w14:paraId="02DE64D5">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30</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14:paraId="7ECCDB56">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29.65</w:t>
            </w:r>
          </w:p>
        </w:tc>
        <w:tc>
          <w:tcPr>
            <w:tcW w:w="1096" w:type="pct"/>
            <w:tcBorders>
              <w:top w:val="single" w:color="auto" w:sz="4" w:space="0"/>
              <w:bottom w:val="single" w:color="auto" w:sz="4" w:space="0"/>
              <w:right w:val="nil"/>
            </w:tcBorders>
            <w:shd w:val="clear" w:color="auto" w:fill="auto"/>
            <w:noWrap/>
            <w:tcMar>
              <w:top w:w="15" w:type="dxa"/>
              <w:left w:w="15" w:type="dxa"/>
              <w:right w:w="15" w:type="dxa"/>
            </w:tcMar>
            <w:vAlign w:val="center"/>
          </w:tcPr>
          <w:p w14:paraId="453E804E">
            <w:pPr>
              <w:spacing w:line="240" w:lineRule="auto"/>
              <w:ind w:firstLine="0" w:firstLineChars="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98.33%</w:t>
            </w:r>
          </w:p>
        </w:tc>
      </w:tr>
      <w:tr w14:paraId="2ACE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12" w:type="pct"/>
            <w:tcBorders>
              <w:top w:val="single" w:color="auto" w:sz="4" w:space="0"/>
              <w:left w:val="nil"/>
              <w:bottom w:val="single" w:color="auto" w:sz="12" w:space="0"/>
            </w:tcBorders>
            <w:shd w:val="clear" w:color="auto" w:fill="auto"/>
            <w:noWrap/>
            <w:tcMar>
              <w:top w:w="15" w:type="dxa"/>
              <w:left w:w="15" w:type="dxa"/>
              <w:right w:w="15" w:type="dxa"/>
            </w:tcMar>
            <w:vAlign w:val="center"/>
          </w:tcPr>
          <w:p w14:paraId="1214BE53">
            <w:pPr>
              <w:spacing w:line="240" w:lineRule="auto"/>
              <w:ind w:firstLine="0" w:firstLineChars="0"/>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合计</w:t>
            </w:r>
          </w:p>
        </w:tc>
        <w:tc>
          <w:tcPr>
            <w:tcW w:w="1094" w:type="pct"/>
            <w:tcBorders>
              <w:top w:val="single" w:color="auto" w:sz="4" w:space="0"/>
              <w:bottom w:val="single" w:color="auto" w:sz="12" w:space="0"/>
            </w:tcBorders>
            <w:shd w:val="clear" w:color="auto" w:fill="auto"/>
            <w:noWrap/>
            <w:tcMar>
              <w:top w:w="15" w:type="dxa"/>
              <w:left w:w="15" w:type="dxa"/>
              <w:right w:w="15" w:type="dxa"/>
            </w:tcMar>
            <w:vAlign w:val="center"/>
          </w:tcPr>
          <w:p w14:paraId="1234354F">
            <w:pPr>
              <w:spacing w:line="240" w:lineRule="auto"/>
              <w:ind w:firstLine="0" w:firstLineChars="0"/>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eastAsia="zh-CN" w:bidi="ar"/>
              </w:rPr>
              <w:fldChar w:fldCharType="begin"/>
            </w:r>
            <w:r>
              <w:rPr>
                <w:rFonts w:hint="eastAsia" w:ascii="仿宋" w:hAnsi="仿宋" w:eastAsia="仿宋" w:cs="仿宋"/>
                <w:b/>
                <w:bCs/>
                <w:color w:val="auto"/>
                <w:kern w:val="0"/>
                <w:sz w:val="21"/>
                <w:szCs w:val="21"/>
                <w:lang w:eastAsia="zh-CN" w:bidi="ar"/>
              </w:rPr>
              <w:instrText xml:space="preserve"> =SUM(ABOVE) \# "0.00" \* MERGEFORMAT </w:instrText>
            </w:r>
            <w:r>
              <w:rPr>
                <w:rFonts w:hint="eastAsia" w:ascii="仿宋" w:hAnsi="仿宋" w:eastAsia="仿宋" w:cs="仿宋"/>
                <w:b/>
                <w:bCs/>
                <w:color w:val="auto"/>
                <w:kern w:val="0"/>
                <w:sz w:val="21"/>
                <w:szCs w:val="21"/>
                <w:lang w:eastAsia="zh-CN" w:bidi="ar"/>
              </w:rPr>
              <w:fldChar w:fldCharType="separate"/>
            </w:r>
            <w:r>
              <w:rPr>
                <w:rFonts w:hint="eastAsia" w:ascii="仿宋" w:hAnsi="仿宋" w:eastAsia="仿宋" w:cs="仿宋"/>
                <w:b/>
                <w:bCs/>
                <w:color w:val="auto"/>
                <w:kern w:val="0"/>
                <w:sz w:val="21"/>
                <w:szCs w:val="21"/>
                <w:lang w:val="en-US" w:eastAsia="zh-CN" w:bidi="ar"/>
              </w:rPr>
              <w:t>100.00</w:t>
            </w:r>
            <w:r>
              <w:rPr>
                <w:rFonts w:hint="eastAsia" w:ascii="仿宋" w:hAnsi="仿宋" w:eastAsia="仿宋" w:cs="仿宋"/>
                <w:b/>
                <w:bCs/>
                <w:color w:val="auto"/>
                <w:kern w:val="0"/>
                <w:sz w:val="21"/>
                <w:szCs w:val="21"/>
                <w:lang w:eastAsia="zh-CN" w:bidi="ar"/>
              </w:rPr>
              <w:fldChar w:fldCharType="end"/>
            </w:r>
          </w:p>
        </w:tc>
        <w:tc>
          <w:tcPr>
            <w:tcW w:w="1096" w:type="pct"/>
            <w:tcBorders>
              <w:top w:val="single" w:color="auto" w:sz="4" w:space="0"/>
              <w:bottom w:val="single" w:color="auto" w:sz="12" w:space="0"/>
              <w:right w:val="nil"/>
            </w:tcBorders>
            <w:shd w:val="clear" w:color="auto" w:fill="auto"/>
            <w:noWrap/>
            <w:tcMar>
              <w:top w:w="15" w:type="dxa"/>
              <w:left w:w="15" w:type="dxa"/>
              <w:right w:w="15" w:type="dxa"/>
            </w:tcMar>
            <w:vAlign w:val="center"/>
          </w:tcPr>
          <w:p w14:paraId="03D62902">
            <w:pPr>
              <w:spacing w:line="240" w:lineRule="auto"/>
              <w:ind w:firstLine="0" w:firstLineChars="0"/>
              <w:jc w:val="center"/>
              <w:textAlignment w:val="center"/>
              <w:rPr>
                <w:rFonts w:hint="default"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95.65</w:t>
            </w:r>
          </w:p>
        </w:tc>
        <w:tc>
          <w:tcPr>
            <w:tcW w:w="1096" w:type="pct"/>
            <w:tcBorders>
              <w:top w:val="single" w:color="auto" w:sz="4" w:space="0"/>
              <w:bottom w:val="single" w:color="auto" w:sz="12" w:space="0"/>
              <w:right w:val="nil"/>
            </w:tcBorders>
            <w:shd w:val="clear" w:color="auto" w:fill="auto"/>
            <w:noWrap/>
            <w:tcMar>
              <w:top w:w="15" w:type="dxa"/>
              <w:left w:w="15" w:type="dxa"/>
              <w:right w:w="15" w:type="dxa"/>
            </w:tcMar>
            <w:vAlign w:val="center"/>
          </w:tcPr>
          <w:p w14:paraId="1C4F0A25">
            <w:pPr>
              <w:spacing w:line="240" w:lineRule="auto"/>
              <w:ind w:firstLine="0" w:firstLineChars="0"/>
              <w:jc w:val="center"/>
              <w:textAlignment w:val="center"/>
              <w:rPr>
                <w:rFonts w:hint="default"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95.65%</w:t>
            </w:r>
          </w:p>
        </w:tc>
      </w:tr>
    </w:tbl>
    <w:p w14:paraId="166507EC">
      <w:pPr>
        <w:widowControl/>
        <w:spacing w:before="287" w:beforeLines="70"/>
        <w:ind w:firstLine="643"/>
        <w:jc w:val="left"/>
        <w:outlineLvl w:val="1"/>
        <w:rPr>
          <w:rFonts w:eastAsia="楷体" w:cs="楷体"/>
          <w:b/>
          <w:kern w:val="0"/>
          <w:sz w:val="32"/>
          <w:szCs w:val="32"/>
          <w:lang w:bidi="ar"/>
        </w:rPr>
      </w:pPr>
      <w:bookmarkStart w:id="99" w:name="_Toc13416"/>
      <w:bookmarkStart w:id="100" w:name="_Toc23991"/>
      <w:bookmarkStart w:id="101" w:name="_Toc13824"/>
      <w:r>
        <w:rPr>
          <w:rFonts w:hint="eastAsia" w:eastAsia="楷体" w:cs="楷体"/>
          <w:b/>
          <w:kern w:val="0"/>
          <w:sz w:val="32"/>
          <w:szCs w:val="32"/>
          <w:lang w:bidi="ar"/>
        </w:rPr>
        <w:t>（二）综合评价意见</w:t>
      </w:r>
      <w:bookmarkEnd w:id="99"/>
      <w:bookmarkEnd w:id="100"/>
      <w:bookmarkEnd w:id="101"/>
    </w:p>
    <w:p w14:paraId="44926717">
      <w:pPr>
        <w:ind w:firstLine="602"/>
        <w:rPr>
          <w:rFonts w:hint="eastAsia"/>
          <w:b/>
          <w:bCs/>
          <w:sz w:val="32"/>
          <w:szCs w:val="32"/>
        </w:rPr>
      </w:pPr>
      <w:r>
        <w:rPr>
          <w:rFonts w:hint="eastAsia"/>
          <w:b/>
          <w:bCs/>
          <w:sz w:val="32"/>
          <w:szCs w:val="32"/>
        </w:rPr>
        <w:t>1.项目决策</w:t>
      </w:r>
    </w:p>
    <w:p w14:paraId="730E288E">
      <w:pPr>
        <w:bidi w:val="0"/>
        <w:rPr>
          <w:rFonts w:hint="eastAsia" w:ascii="Times New Roman" w:hAnsi="Times New Roman" w:cs="Times New Roman"/>
          <w:lang w:val="en-US" w:eastAsia="zh-CN"/>
        </w:rPr>
      </w:pPr>
      <w:r>
        <w:rPr>
          <w:rFonts w:hint="eastAsia" w:ascii="Times New Roman" w:hAnsi="Times New Roman" w:cs="Times New Roman"/>
          <w:lang w:val="en-US" w:eastAsia="zh-CN"/>
        </w:rPr>
        <w:t>（1）项目立项：项目立项符合国家法律法规、相关政策、国民经济发展规划，项目立项与部门职责范围相符，属于部门履职所需，项目属于公共财政支持范围，符合中央、地方事权支出责任划分原则。通过分析立项依据充分，项目申请、设立过程符合相关要求，项目立项规范。</w:t>
      </w:r>
    </w:p>
    <w:p w14:paraId="4D28A8B9">
      <w:pPr>
        <w:bidi w:val="0"/>
        <w:rPr>
          <w:rFonts w:hint="default" w:ascii="Times New Roman" w:hAnsi="Times New Roman" w:cs="Times New Roman"/>
          <w:lang w:val="en-US" w:eastAsia="zh-CN"/>
        </w:rPr>
      </w:pPr>
      <w:r>
        <w:rPr>
          <w:rFonts w:hint="eastAsia" w:ascii="Times New Roman" w:hAnsi="Times New Roman" w:cs="Times New Roman"/>
          <w:lang w:val="en-US" w:eastAsia="zh-CN"/>
        </w:rPr>
        <w:t>（2）项目目标：项目实施单位按照项目实施内容编制了绩效目标，绩效目标的内容设置合理，能够反映项目实施的内容，项目绩效目标细化分解为具体的绩效指标，通过清晰、可衡量的指标值予以体现。</w:t>
      </w:r>
    </w:p>
    <w:p w14:paraId="4148C933">
      <w:pPr>
        <w:bidi w:val="0"/>
        <w:rPr>
          <w:rFonts w:hint="default" w:ascii="Times New Roman" w:hAnsi="Times New Roman" w:cs="Times New Roman"/>
          <w:lang w:val="en-US" w:eastAsia="zh-CN"/>
        </w:rPr>
      </w:pPr>
      <w:r>
        <w:rPr>
          <w:rFonts w:hint="eastAsia" w:ascii="Times New Roman" w:hAnsi="Times New Roman" w:cs="Times New Roman"/>
          <w:lang w:val="en-US" w:eastAsia="zh-CN"/>
        </w:rPr>
        <w:t>（3）资金投入：预算编制经过科学论证、有明确标准，预算额度测算依据充分，预算编制科学合理。</w:t>
      </w:r>
    </w:p>
    <w:p w14:paraId="754C1112">
      <w:pPr>
        <w:ind w:firstLine="602"/>
        <w:rPr>
          <w:rFonts w:hint="eastAsia"/>
          <w:b/>
          <w:bCs/>
          <w:sz w:val="32"/>
          <w:szCs w:val="32"/>
        </w:rPr>
      </w:pPr>
      <w:r>
        <w:rPr>
          <w:rFonts w:hint="eastAsia"/>
          <w:b/>
          <w:bCs/>
          <w:sz w:val="32"/>
          <w:szCs w:val="32"/>
        </w:rPr>
        <w:t>2.项目过程</w:t>
      </w:r>
    </w:p>
    <w:p w14:paraId="00174A24">
      <w:pPr>
        <w:bidi w:val="0"/>
        <w:rPr>
          <w:rFonts w:hint="default" w:ascii="Times New Roman" w:hAnsi="Times New Roman" w:cs="Times New Roman"/>
          <w:lang w:val="en-US" w:eastAsia="zh-CN"/>
        </w:rPr>
      </w:pPr>
      <w:r>
        <w:rPr>
          <w:rFonts w:hint="eastAsia" w:ascii="Times New Roman" w:hAnsi="Times New Roman" w:cs="Times New Roman"/>
          <w:lang w:val="en-US" w:eastAsia="zh-CN"/>
        </w:rPr>
        <w:t>（1）资金管理：项目全年预算金额</w:t>
      </w:r>
      <w:r>
        <w:rPr>
          <w:rFonts w:hint="eastAsia" w:cs="Times New Roman"/>
          <w:lang w:val="en-US" w:eastAsia="zh-CN"/>
        </w:rPr>
        <w:t>353.96</w:t>
      </w:r>
      <w:r>
        <w:rPr>
          <w:rFonts w:hint="eastAsia" w:ascii="Times New Roman" w:hAnsi="Times New Roman" w:cs="Times New Roman"/>
          <w:lang w:val="en-US" w:eastAsia="zh-CN"/>
        </w:rPr>
        <w:t>万元，截至评价基准日，项目资金实际到位</w:t>
      </w:r>
      <w:r>
        <w:rPr>
          <w:rFonts w:hint="eastAsia" w:cs="Times New Roman"/>
          <w:lang w:val="en-US" w:eastAsia="zh-CN"/>
        </w:rPr>
        <w:t>353.96</w:t>
      </w:r>
      <w:r>
        <w:rPr>
          <w:rFonts w:hint="eastAsia" w:ascii="Times New Roman" w:hAnsi="Times New Roman" w:cs="Times New Roman"/>
          <w:lang w:val="en-US" w:eastAsia="zh-CN"/>
        </w:rPr>
        <w:t>万元，资金到位率100</w:t>
      </w:r>
      <w:r>
        <w:rPr>
          <w:rFonts w:hint="default" w:ascii="Times New Roman" w:hAnsi="Times New Roman" w:cs="Times New Roman"/>
          <w:lang w:val="en-US" w:eastAsia="zh-CN"/>
        </w:rPr>
        <w:t>%</w:t>
      </w:r>
      <w:r>
        <w:rPr>
          <w:rFonts w:hint="eastAsia" w:ascii="Times New Roman" w:hAnsi="Times New Roman" w:cs="Times New Roman"/>
          <w:lang w:val="en-US" w:eastAsia="zh-CN"/>
        </w:rPr>
        <w:t>，项目预算执行数为</w:t>
      </w:r>
      <w:r>
        <w:rPr>
          <w:rFonts w:hint="eastAsia" w:cs="Times New Roman"/>
          <w:lang w:val="en-US" w:eastAsia="zh-CN"/>
        </w:rPr>
        <w:t>353.96</w:t>
      </w:r>
      <w:r>
        <w:rPr>
          <w:rFonts w:hint="eastAsia" w:ascii="Times New Roman" w:hAnsi="Times New Roman" w:cs="Times New Roman"/>
          <w:lang w:val="en-US" w:eastAsia="zh-CN"/>
        </w:rPr>
        <w:t>万元，预算执行率为100%。项目资金使用合规，未发现挤占截留、虚列支出等不合规现象。</w:t>
      </w:r>
    </w:p>
    <w:p w14:paraId="319FBFAE">
      <w:pPr>
        <w:bidi w:val="0"/>
        <w:rPr>
          <w:rFonts w:hint="default" w:ascii="Times New Roman" w:hAnsi="Times New Roman" w:cs="Times New Roman"/>
          <w:lang w:val="en-US" w:eastAsia="zh-CN"/>
        </w:rPr>
      </w:pPr>
      <w:r>
        <w:rPr>
          <w:rFonts w:hint="eastAsia" w:ascii="Times New Roman" w:hAnsi="Times New Roman" w:cs="Times New Roman"/>
          <w:lang w:val="en-US" w:eastAsia="zh-CN"/>
        </w:rPr>
        <w:t>（2）组织实施：项目严格按照单位制定的财务管理制度对资金进行管理，项目实施的人员条件、场地设备、信息支撑等落实到位。</w:t>
      </w:r>
    </w:p>
    <w:p w14:paraId="79C2AD4F">
      <w:pPr>
        <w:ind w:firstLine="602"/>
        <w:rPr>
          <w:rFonts w:hint="eastAsia"/>
          <w:b/>
          <w:bCs/>
          <w:sz w:val="32"/>
          <w:szCs w:val="32"/>
        </w:rPr>
      </w:pPr>
      <w:r>
        <w:rPr>
          <w:rFonts w:hint="eastAsia"/>
          <w:b/>
          <w:bCs/>
          <w:sz w:val="32"/>
          <w:szCs w:val="32"/>
        </w:rPr>
        <w:t>3.产出方面</w:t>
      </w:r>
    </w:p>
    <w:p w14:paraId="2E24226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检察院在</w:t>
      </w:r>
      <w:r>
        <w:rPr>
          <w:rFonts w:hint="eastAsia" w:ascii="Times New Roman" w:hAnsi="宋体" w:cs="仿宋_GB2312"/>
          <w:color w:val="000000"/>
          <w:kern w:val="0"/>
          <w:sz w:val="32"/>
          <w:szCs w:val="32"/>
          <w:lang w:val="en-US" w:eastAsia="zh-CN" w:bidi="ar"/>
        </w:rPr>
        <w:t>202</w:t>
      </w:r>
      <w:r>
        <w:rPr>
          <w:rFonts w:hint="eastAsia" w:hAnsi="宋体"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年全年支出为</w:t>
      </w:r>
      <w:r>
        <w:rPr>
          <w:rFonts w:hint="eastAsia" w:hAnsi="宋体" w:cs="仿宋_GB2312"/>
          <w:color w:val="000000"/>
          <w:kern w:val="0"/>
          <w:sz w:val="32"/>
          <w:szCs w:val="32"/>
          <w:lang w:val="en-US" w:eastAsia="zh-CN" w:bidi="ar"/>
        </w:rPr>
        <w:t>353.96</w:t>
      </w:r>
      <w:r>
        <w:rPr>
          <w:rFonts w:hint="eastAsia" w:ascii="仿宋_GB2312" w:hAnsi="宋体" w:eastAsia="仿宋_GB2312" w:cs="仿宋_GB2312"/>
          <w:color w:val="000000"/>
          <w:kern w:val="0"/>
          <w:sz w:val="32"/>
          <w:szCs w:val="32"/>
          <w:lang w:val="en-US" w:eastAsia="zh-CN" w:bidi="ar"/>
        </w:rPr>
        <w:t>万元，主要用于办公费、印刷费、委托业务费等办案业务费用。同时，检察院全年办理一审公诉案件数量为</w:t>
      </w:r>
      <w:r>
        <w:rPr>
          <w:rFonts w:hint="eastAsia" w:hAnsi="宋体" w:cs="仿宋_GB2312"/>
          <w:color w:val="000000"/>
          <w:kern w:val="0"/>
          <w:sz w:val="32"/>
          <w:szCs w:val="32"/>
          <w:lang w:val="en-US" w:eastAsia="zh-CN" w:bidi="ar"/>
        </w:rPr>
        <w:t>234</w:t>
      </w:r>
      <w:r>
        <w:rPr>
          <w:rFonts w:hint="eastAsia" w:ascii="仿宋_GB2312" w:hAnsi="宋体" w:eastAsia="仿宋_GB2312" w:cs="仿宋_GB2312"/>
          <w:color w:val="000000"/>
          <w:kern w:val="0"/>
          <w:sz w:val="32"/>
          <w:szCs w:val="32"/>
          <w:lang w:val="en-US" w:eastAsia="zh-CN" w:bidi="ar"/>
        </w:rPr>
        <w:t>件，且质量基本达标，能够在规定的时间内及时完成任务。</w:t>
      </w:r>
    </w:p>
    <w:p w14:paraId="55B45CB8">
      <w:pPr>
        <w:ind w:firstLine="602"/>
        <w:rPr>
          <w:rFonts w:hint="eastAsia"/>
          <w:b/>
          <w:bCs/>
          <w:sz w:val="32"/>
          <w:szCs w:val="32"/>
        </w:rPr>
      </w:pPr>
      <w:bookmarkStart w:id="102" w:name="_Toc24189"/>
      <w:bookmarkStart w:id="103" w:name="_Toc23808"/>
      <w:bookmarkStart w:id="104" w:name="_Toc57965945"/>
      <w:bookmarkStart w:id="105" w:name="_Toc61482854"/>
      <w:bookmarkStart w:id="106" w:name="_Toc9493299"/>
      <w:bookmarkStart w:id="107" w:name="_Toc61482773"/>
      <w:bookmarkStart w:id="108" w:name="_Toc29157"/>
      <w:bookmarkStart w:id="109" w:name="_Toc61482982"/>
      <w:bookmarkStart w:id="110" w:name="_Toc21207"/>
      <w:bookmarkStart w:id="111" w:name="_Toc1780"/>
      <w:bookmarkStart w:id="112" w:name="_Toc23114"/>
      <w:r>
        <w:rPr>
          <w:rFonts w:hint="eastAsia"/>
          <w:b/>
          <w:bCs/>
          <w:sz w:val="32"/>
          <w:szCs w:val="32"/>
        </w:rPr>
        <w:t>4.效益方面</w:t>
      </w:r>
    </w:p>
    <w:p w14:paraId="318A462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通过优化办案流程、加强信息化建设、强化业务培训、落实责任制以及加强与相关部门的协作配合等措施，进一步提升检察院的办案效率和质量，更好地维护社会公正和法律权威</w:t>
      </w:r>
      <w:bookmarkStart w:id="113" w:name="_Toc8741"/>
      <w:r>
        <w:rPr>
          <w:rFonts w:hint="eastAsia" w:ascii="仿宋_GB2312" w:hAnsi="宋体" w:eastAsia="仿宋_GB2312" w:cs="仿宋_GB2312"/>
          <w:color w:val="000000"/>
          <w:kern w:val="0"/>
          <w:sz w:val="32"/>
          <w:szCs w:val="32"/>
          <w:lang w:val="en-US" w:eastAsia="zh-CN" w:bidi="ar"/>
        </w:rPr>
        <w:t>。</w:t>
      </w:r>
    </w:p>
    <w:p w14:paraId="48C7648B">
      <w:pPr>
        <w:widowControl/>
        <w:ind w:firstLine="640"/>
        <w:jc w:val="left"/>
        <w:outlineLvl w:val="0"/>
        <w:rPr>
          <w:rFonts w:eastAsia="黑体" w:cs="黑体"/>
          <w:kern w:val="0"/>
          <w:sz w:val="32"/>
          <w:szCs w:val="32"/>
          <w:lang w:bidi="ar"/>
        </w:rPr>
      </w:pPr>
      <w:bookmarkStart w:id="114" w:name="_Toc20488"/>
      <w:r>
        <w:rPr>
          <w:rFonts w:hint="eastAsia" w:eastAsia="黑体" w:cs="黑体"/>
          <w:kern w:val="0"/>
          <w:sz w:val="32"/>
          <w:szCs w:val="32"/>
          <w:lang w:bidi="ar"/>
        </w:rPr>
        <w:t>四、绩效评价指标分析</w:t>
      </w:r>
      <w:bookmarkEnd w:id="113"/>
      <w:bookmarkEnd w:id="114"/>
    </w:p>
    <w:p w14:paraId="0270685A">
      <w:pPr>
        <w:widowControl/>
        <w:ind w:firstLine="643"/>
        <w:jc w:val="left"/>
        <w:outlineLvl w:val="1"/>
        <w:rPr>
          <w:rFonts w:eastAsia="楷体" w:cs="楷体"/>
          <w:b/>
          <w:kern w:val="0"/>
          <w:sz w:val="32"/>
          <w:szCs w:val="32"/>
          <w:lang w:bidi="ar"/>
        </w:rPr>
      </w:pPr>
      <w:bookmarkStart w:id="115" w:name="_Toc28991"/>
      <w:bookmarkStart w:id="116" w:name="_Toc9629"/>
      <w:r>
        <w:rPr>
          <w:rFonts w:hint="eastAsia" w:eastAsia="楷体" w:cs="楷体"/>
          <w:b/>
          <w:kern w:val="0"/>
          <w:sz w:val="32"/>
          <w:szCs w:val="32"/>
          <w:lang w:bidi="ar"/>
        </w:rPr>
        <w:t>（一）项目决策</w:t>
      </w:r>
      <w:bookmarkEnd w:id="102"/>
      <w:bookmarkEnd w:id="103"/>
      <w:bookmarkEnd w:id="104"/>
      <w:bookmarkEnd w:id="105"/>
      <w:bookmarkEnd w:id="106"/>
      <w:bookmarkEnd w:id="107"/>
      <w:bookmarkEnd w:id="108"/>
      <w:bookmarkEnd w:id="109"/>
      <w:bookmarkEnd w:id="110"/>
      <w:bookmarkEnd w:id="111"/>
      <w:bookmarkEnd w:id="112"/>
      <w:r>
        <w:rPr>
          <w:rFonts w:hint="eastAsia" w:eastAsia="楷体" w:cs="楷体"/>
          <w:b/>
          <w:kern w:val="0"/>
          <w:sz w:val="32"/>
          <w:szCs w:val="32"/>
          <w:lang w:bidi="ar"/>
        </w:rPr>
        <w:t>情况</w:t>
      </w:r>
      <w:bookmarkEnd w:id="115"/>
      <w:bookmarkEnd w:id="116"/>
    </w:p>
    <w:p w14:paraId="6FE749E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项目决策主要从项目立项、项目目标、资金投入三方面予以考察。该部分分值</w:t>
      </w:r>
      <w:r>
        <w:rPr>
          <w:rFonts w:hint="eastAsia" w:ascii="Times New Roman" w:hAnsi="宋体" w:cs="仿宋_GB2312"/>
          <w:color w:val="000000"/>
          <w:kern w:val="0"/>
          <w:sz w:val="32"/>
          <w:szCs w:val="32"/>
          <w:lang w:val="en-US" w:eastAsia="zh-CN" w:bidi="ar"/>
        </w:rPr>
        <w:t>15</w:t>
      </w:r>
      <w:r>
        <w:rPr>
          <w:rFonts w:hint="eastAsia" w:ascii="仿宋_GB2312" w:hAnsi="宋体" w:eastAsia="仿宋_GB2312" w:cs="仿宋_GB2312"/>
          <w:color w:val="000000"/>
          <w:kern w:val="0"/>
          <w:sz w:val="32"/>
          <w:szCs w:val="32"/>
          <w:lang w:val="en-US" w:eastAsia="zh-CN" w:bidi="ar"/>
        </w:rPr>
        <w:t>分，评价得分</w:t>
      </w:r>
      <w:r>
        <w:rPr>
          <w:rFonts w:hint="eastAsia" w:hAnsi="宋体" w:cs="仿宋_GB2312"/>
          <w:color w:val="000000"/>
          <w:kern w:val="0"/>
          <w:sz w:val="32"/>
          <w:szCs w:val="32"/>
          <w:lang w:val="en-US" w:eastAsia="zh-CN" w:bidi="ar"/>
        </w:rPr>
        <w:t>13</w:t>
      </w:r>
      <w:r>
        <w:rPr>
          <w:rFonts w:hint="eastAsia" w:ascii="仿宋_GB2312" w:hAnsi="宋体" w:eastAsia="仿宋_GB2312" w:cs="仿宋_GB2312"/>
          <w:color w:val="000000"/>
          <w:kern w:val="0"/>
          <w:sz w:val="32"/>
          <w:szCs w:val="32"/>
          <w:lang w:val="en-US" w:eastAsia="zh-CN" w:bidi="ar"/>
        </w:rPr>
        <w:t>分，得分率</w:t>
      </w:r>
      <w:r>
        <w:rPr>
          <w:rFonts w:hint="eastAsia" w:hAnsi="宋体" w:cs="仿宋_GB2312"/>
          <w:color w:val="000000"/>
          <w:kern w:val="0"/>
          <w:sz w:val="32"/>
          <w:szCs w:val="32"/>
          <w:lang w:val="en-US" w:eastAsia="zh-CN" w:bidi="ar"/>
        </w:rPr>
        <w:t>86.67</w:t>
      </w:r>
      <w:r>
        <w:rPr>
          <w:rFonts w:hint="eastAsia" w:ascii="仿宋_GB2312" w:hAnsi="宋体" w:eastAsia="仿宋_GB2312" w:cs="仿宋_GB2312"/>
          <w:color w:val="000000"/>
          <w:kern w:val="0"/>
          <w:sz w:val="32"/>
          <w:szCs w:val="32"/>
          <w:lang w:val="en-US" w:eastAsia="zh-CN" w:bidi="ar"/>
        </w:rPr>
        <w:t>%，具体情况详见表</w:t>
      </w:r>
      <w:r>
        <w:rPr>
          <w:rFonts w:hint="eastAsia" w:ascii="Times New Roman" w:hAnsi="宋体" w:cs="仿宋_GB2312"/>
          <w:color w:val="000000"/>
          <w:kern w:val="0"/>
          <w:sz w:val="32"/>
          <w:szCs w:val="32"/>
          <w:lang w:val="en-US" w:eastAsia="zh-CN" w:bidi="ar"/>
        </w:rPr>
        <w:t>4-1</w:t>
      </w:r>
      <w:r>
        <w:rPr>
          <w:rFonts w:hint="eastAsia" w:ascii="仿宋_GB2312" w:hAnsi="宋体" w:eastAsia="仿宋_GB2312" w:cs="仿宋_GB2312"/>
          <w:color w:val="000000"/>
          <w:kern w:val="0"/>
          <w:sz w:val="32"/>
          <w:szCs w:val="32"/>
          <w:lang w:val="en-US" w:eastAsia="zh-CN" w:bidi="ar"/>
        </w:rPr>
        <w:t>。</w:t>
      </w:r>
    </w:p>
    <w:p w14:paraId="3A5E7577">
      <w:pPr>
        <w:pStyle w:val="7"/>
        <w:outlineLvl w:val="9"/>
        <w:rPr>
          <w:rFonts w:ascii="仿宋" w:hAnsi="仿宋" w:eastAsia="仿宋" w:cs="仿宋"/>
          <w:b/>
          <w:bCs/>
        </w:rPr>
      </w:pPr>
      <w:bookmarkStart w:id="117" w:name="_Toc8537"/>
      <w:bookmarkStart w:id="118" w:name="_Toc18425"/>
      <w:r>
        <w:rPr>
          <w:rFonts w:hint="eastAsia" w:ascii="仿宋" w:hAnsi="仿宋" w:eastAsia="仿宋" w:cs="仿宋"/>
          <w:b/>
          <w:bCs/>
        </w:rPr>
        <w:t>表4-1</w:t>
      </w:r>
      <w:bookmarkEnd w:id="117"/>
      <w:bookmarkEnd w:id="118"/>
      <w:r>
        <w:rPr>
          <w:rFonts w:hint="eastAsia" w:ascii="仿宋" w:hAnsi="仿宋" w:eastAsia="仿宋" w:cs="仿宋"/>
          <w:b/>
          <w:bCs/>
          <w:lang w:val="en-US" w:eastAsia="zh-CN"/>
        </w:rPr>
        <w:t xml:space="preserve">  </w:t>
      </w:r>
      <w:r>
        <w:rPr>
          <w:rFonts w:hint="eastAsia" w:ascii="仿宋" w:hAnsi="仿宋" w:eastAsia="仿宋" w:cs="仿宋"/>
          <w:b/>
          <w:bCs/>
        </w:rPr>
        <w:t>项目决策部分得分表</w:t>
      </w:r>
    </w:p>
    <w:tbl>
      <w:tblPr>
        <w:tblStyle w:val="23"/>
        <w:tblW w:w="87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7"/>
        <w:gridCol w:w="2172"/>
        <w:gridCol w:w="851"/>
        <w:gridCol w:w="840"/>
        <w:gridCol w:w="1254"/>
        <w:gridCol w:w="2553"/>
      </w:tblGrid>
      <w:tr w14:paraId="6353D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67" w:type="dxa"/>
            <w:tcBorders>
              <w:top w:val="single" w:color="000000" w:sz="12" w:space="0"/>
              <w:left w:val="nil"/>
              <w:bottom w:val="single" w:color="000000" w:sz="8" w:space="0"/>
              <w:right w:val="single" w:color="000000" w:sz="8" w:space="0"/>
            </w:tcBorders>
            <w:shd w:val="clear" w:color="auto" w:fill="auto"/>
            <w:vAlign w:val="center"/>
          </w:tcPr>
          <w:p w14:paraId="5DB0FD59">
            <w:pPr>
              <w:keepNext w:val="0"/>
              <w:keepLines w:val="0"/>
              <w:widowControl/>
              <w:suppressLineNumbers w:val="0"/>
              <w:ind w:left="0" w:leftChars="0" w:firstLine="0" w:firstLineChars="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二级指标</w:t>
            </w:r>
          </w:p>
        </w:tc>
        <w:tc>
          <w:tcPr>
            <w:tcW w:w="2172" w:type="dxa"/>
            <w:tcBorders>
              <w:top w:val="single" w:color="000000" w:sz="12" w:space="0"/>
              <w:left w:val="single" w:color="000000" w:sz="8" w:space="0"/>
              <w:bottom w:val="single" w:color="000000" w:sz="8" w:space="0"/>
              <w:right w:val="single" w:color="000000" w:sz="8" w:space="0"/>
            </w:tcBorders>
            <w:shd w:val="clear" w:color="auto" w:fill="auto"/>
            <w:vAlign w:val="center"/>
          </w:tcPr>
          <w:p w14:paraId="41713C40">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三级指标</w:t>
            </w:r>
          </w:p>
        </w:tc>
        <w:tc>
          <w:tcPr>
            <w:tcW w:w="851" w:type="dxa"/>
            <w:tcBorders>
              <w:top w:val="single" w:color="000000" w:sz="12" w:space="0"/>
              <w:left w:val="single" w:color="000000" w:sz="8" w:space="0"/>
              <w:bottom w:val="single" w:color="000000" w:sz="8" w:space="0"/>
              <w:right w:val="single" w:color="000000" w:sz="8" w:space="0"/>
            </w:tcBorders>
            <w:shd w:val="clear" w:color="auto" w:fill="auto"/>
            <w:vAlign w:val="center"/>
          </w:tcPr>
          <w:p w14:paraId="38B72697">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权重</w:t>
            </w:r>
          </w:p>
        </w:tc>
        <w:tc>
          <w:tcPr>
            <w:tcW w:w="840" w:type="dxa"/>
            <w:tcBorders>
              <w:top w:val="single" w:color="000000" w:sz="12" w:space="0"/>
              <w:left w:val="single" w:color="000000" w:sz="8" w:space="0"/>
              <w:bottom w:val="single" w:color="000000" w:sz="8" w:space="0"/>
              <w:right w:val="single" w:color="000000" w:sz="8" w:space="0"/>
            </w:tcBorders>
            <w:shd w:val="clear" w:color="auto" w:fill="auto"/>
            <w:vAlign w:val="center"/>
          </w:tcPr>
          <w:p w14:paraId="2EBAF758">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w:t>
            </w:r>
          </w:p>
        </w:tc>
        <w:tc>
          <w:tcPr>
            <w:tcW w:w="1254" w:type="dxa"/>
            <w:tcBorders>
              <w:top w:val="single" w:color="000000" w:sz="12" w:space="0"/>
              <w:left w:val="single" w:color="000000" w:sz="8" w:space="0"/>
              <w:bottom w:val="single" w:color="000000" w:sz="8" w:space="0"/>
              <w:right w:val="single" w:color="000000" w:sz="8" w:space="0"/>
            </w:tcBorders>
            <w:shd w:val="clear" w:color="auto" w:fill="auto"/>
            <w:vAlign w:val="center"/>
          </w:tcPr>
          <w:p w14:paraId="3BC5400C">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得分率</w:t>
            </w:r>
          </w:p>
        </w:tc>
        <w:tc>
          <w:tcPr>
            <w:tcW w:w="2553" w:type="dxa"/>
            <w:tcBorders>
              <w:top w:val="single" w:color="000000" w:sz="12" w:space="0"/>
              <w:left w:val="single" w:color="000000" w:sz="8" w:space="0"/>
              <w:bottom w:val="single" w:color="000000" w:sz="8" w:space="0"/>
              <w:right w:val="nil"/>
            </w:tcBorders>
            <w:shd w:val="clear" w:color="auto" w:fill="auto"/>
            <w:vAlign w:val="center"/>
          </w:tcPr>
          <w:p w14:paraId="7A4E69A1">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扣分要点</w:t>
            </w:r>
          </w:p>
        </w:tc>
      </w:tr>
      <w:tr w14:paraId="3C81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067" w:type="dxa"/>
            <w:vMerge w:val="restart"/>
            <w:tcBorders>
              <w:top w:val="single" w:color="000000" w:sz="8" w:space="0"/>
              <w:left w:val="nil"/>
              <w:bottom w:val="single" w:color="000000" w:sz="8" w:space="0"/>
              <w:right w:val="single" w:color="000000" w:sz="8" w:space="0"/>
            </w:tcBorders>
            <w:shd w:val="clear" w:color="auto" w:fill="auto"/>
            <w:vAlign w:val="center"/>
          </w:tcPr>
          <w:p w14:paraId="0F1D8F0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项目立项</w:t>
            </w:r>
          </w:p>
        </w:tc>
        <w:tc>
          <w:tcPr>
            <w:tcW w:w="21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DC9FA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立项依据充分性</w:t>
            </w:r>
          </w:p>
        </w:tc>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848D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C2A7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2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952A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553" w:type="dxa"/>
            <w:tcBorders>
              <w:top w:val="single" w:color="000000" w:sz="8" w:space="0"/>
              <w:left w:val="single" w:color="000000" w:sz="8" w:space="0"/>
              <w:bottom w:val="single" w:color="000000" w:sz="8" w:space="0"/>
              <w:right w:val="nil"/>
            </w:tcBorders>
            <w:shd w:val="clear" w:color="auto" w:fill="auto"/>
            <w:vAlign w:val="center"/>
          </w:tcPr>
          <w:p w14:paraId="101BDC8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251A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vMerge w:val="continue"/>
            <w:tcBorders>
              <w:top w:val="single" w:color="000000" w:sz="8" w:space="0"/>
              <w:left w:val="nil"/>
              <w:bottom w:val="single" w:color="000000" w:sz="8" w:space="0"/>
              <w:right w:val="single" w:color="000000" w:sz="8" w:space="0"/>
            </w:tcBorders>
            <w:shd w:val="clear" w:color="auto" w:fill="auto"/>
            <w:vAlign w:val="center"/>
          </w:tcPr>
          <w:p w14:paraId="0727A551">
            <w:pPr>
              <w:jc w:val="center"/>
              <w:rPr>
                <w:rFonts w:hint="eastAsia" w:ascii="仿宋" w:hAnsi="仿宋" w:eastAsia="仿宋" w:cs="仿宋"/>
                <w:i w:val="0"/>
                <w:iCs w:val="0"/>
                <w:color w:val="000000"/>
                <w:sz w:val="21"/>
                <w:szCs w:val="21"/>
                <w:u w:val="none"/>
              </w:rPr>
            </w:pPr>
          </w:p>
        </w:tc>
        <w:tc>
          <w:tcPr>
            <w:tcW w:w="21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985BB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立项程序规范性</w:t>
            </w:r>
          </w:p>
        </w:tc>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A8AF0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ED4E1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2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C916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553" w:type="dxa"/>
            <w:tcBorders>
              <w:top w:val="single" w:color="000000" w:sz="8" w:space="0"/>
              <w:left w:val="single" w:color="000000" w:sz="8" w:space="0"/>
              <w:bottom w:val="single" w:color="000000" w:sz="8" w:space="0"/>
              <w:right w:val="nil"/>
            </w:tcBorders>
            <w:shd w:val="clear" w:color="auto" w:fill="auto"/>
            <w:vAlign w:val="center"/>
          </w:tcPr>
          <w:p w14:paraId="2362263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24F0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vMerge w:val="restart"/>
            <w:tcBorders>
              <w:top w:val="single" w:color="000000" w:sz="8" w:space="0"/>
              <w:left w:val="nil"/>
              <w:bottom w:val="single" w:color="000000" w:sz="8" w:space="0"/>
              <w:right w:val="single" w:color="000000" w:sz="8" w:space="0"/>
            </w:tcBorders>
            <w:shd w:val="clear" w:color="auto" w:fill="auto"/>
            <w:vAlign w:val="center"/>
          </w:tcPr>
          <w:p w14:paraId="1698B33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项目目标</w:t>
            </w:r>
          </w:p>
        </w:tc>
        <w:tc>
          <w:tcPr>
            <w:tcW w:w="21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E694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绩效目标合理性</w:t>
            </w:r>
          </w:p>
        </w:tc>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075F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7F7E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2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19C2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553" w:type="dxa"/>
            <w:tcBorders>
              <w:top w:val="single" w:color="000000" w:sz="8" w:space="0"/>
              <w:left w:val="single" w:color="000000" w:sz="8" w:space="0"/>
              <w:bottom w:val="single" w:color="000000" w:sz="8" w:space="0"/>
              <w:right w:val="nil"/>
            </w:tcBorders>
            <w:shd w:val="clear" w:color="auto" w:fill="auto"/>
            <w:vAlign w:val="center"/>
          </w:tcPr>
          <w:p w14:paraId="44653194">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 xml:space="preserve">    -</w:t>
            </w:r>
          </w:p>
        </w:tc>
      </w:tr>
      <w:tr w14:paraId="7740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067" w:type="dxa"/>
            <w:vMerge w:val="continue"/>
            <w:tcBorders>
              <w:top w:val="single" w:color="000000" w:sz="8" w:space="0"/>
              <w:left w:val="nil"/>
              <w:bottom w:val="single" w:color="000000" w:sz="8" w:space="0"/>
              <w:right w:val="single" w:color="000000" w:sz="8" w:space="0"/>
            </w:tcBorders>
            <w:shd w:val="clear" w:color="auto" w:fill="auto"/>
            <w:vAlign w:val="center"/>
          </w:tcPr>
          <w:p w14:paraId="0D48A742">
            <w:pPr>
              <w:jc w:val="center"/>
              <w:rPr>
                <w:rFonts w:hint="eastAsia" w:ascii="仿宋" w:hAnsi="仿宋" w:eastAsia="仿宋" w:cs="仿宋"/>
                <w:i w:val="0"/>
                <w:iCs w:val="0"/>
                <w:color w:val="000000"/>
                <w:sz w:val="21"/>
                <w:szCs w:val="21"/>
                <w:u w:val="none"/>
              </w:rPr>
            </w:pPr>
          </w:p>
        </w:tc>
        <w:tc>
          <w:tcPr>
            <w:tcW w:w="21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2F09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绩效指标明确性</w:t>
            </w:r>
          </w:p>
        </w:tc>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EA2E86">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804C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12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2D653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553" w:type="dxa"/>
            <w:tcBorders>
              <w:top w:val="single" w:color="000000" w:sz="8" w:space="0"/>
              <w:left w:val="single" w:color="000000" w:sz="8" w:space="0"/>
              <w:bottom w:val="single" w:color="000000" w:sz="8" w:space="0"/>
              <w:right w:val="nil"/>
            </w:tcBorders>
            <w:shd w:val="clear" w:color="auto" w:fill="auto"/>
            <w:vAlign w:val="center"/>
          </w:tcPr>
          <w:p w14:paraId="25068FC9">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w:t>
            </w:r>
          </w:p>
        </w:tc>
      </w:tr>
      <w:tr w14:paraId="71202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067" w:type="dxa"/>
            <w:vMerge w:val="restart"/>
            <w:tcBorders>
              <w:top w:val="single" w:color="000000" w:sz="8" w:space="0"/>
              <w:left w:val="nil"/>
              <w:bottom w:val="single" w:color="000000" w:sz="8" w:space="0"/>
              <w:right w:val="single" w:color="000000" w:sz="8" w:space="0"/>
            </w:tcBorders>
            <w:shd w:val="clear" w:color="auto" w:fill="auto"/>
            <w:vAlign w:val="center"/>
          </w:tcPr>
          <w:p w14:paraId="0C1BE82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资金投入</w:t>
            </w:r>
          </w:p>
        </w:tc>
        <w:tc>
          <w:tcPr>
            <w:tcW w:w="21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09F8E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预算编制科学性</w:t>
            </w:r>
          </w:p>
        </w:tc>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127E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EAB4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2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228D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553" w:type="dxa"/>
            <w:tcBorders>
              <w:top w:val="single" w:color="000000" w:sz="8" w:space="0"/>
              <w:left w:val="single" w:color="000000" w:sz="8" w:space="0"/>
              <w:bottom w:val="single" w:color="000000" w:sz="8" w:space="0"/>
              <w:right w:val="nil"/>
            </w:tcBorders>
            <w:shd w:val="clear" w:color="auto" w:fill="auto"/>
            <w:vAlign w:val="center"/>
          </w:tcPr>
          <w:p w14:paraId="3E02721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1C9E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67" w:type="dxa"/>
            <w:vMerge w:val="continue"/>
            <w:tcBorders>
              <w:top w:val="single" w:color="000000" w:sz="8" w:space="0"/>
              <w:left w:val="nil"/>
              <w:bottom w:val="single" w:color="000000" w:sz="8" w:space="0"/>
              <w:right w:val="single" w:color="000000" w:sz="8" w:space="0"/>
            </w:tcBorders>
            <w:shd w:val="clear" w:color="auto" w:fill="auto"/>
            <w:vAlign w:val="center"/>
          </w:tcPr>
          <w:p w14:paraId="3F62B172">
            <w:pPr>
              <w:jc w:val="center"/>
              <w:rPr>
                <w:rFonts w:hint="eastAsia" w:ascii="仿宋" w:hAnsi="仿宋" w:eastAsia="仿宋" w:cs="仿宋"/>
                <w:i w:val="0"/>
                <w:iCs w:val="0"/>
                <w:color w:val="000000"/>
                <w:sz w:val="21"/>
                <w:szCs w:val="21"/>
                <w:u w:val="none"/>
              </w:rPr>
            </w:pPr>
          </w:p>
        </w:tc>
        <w:tc>
          <w:tcPr>
            <w:tcW w:w="21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02AB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资金投入分配合理性</w:t>
            </w:r>
          </w:p>
        </w:tc>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A90A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346F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12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C876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2553" w:type="dxa"/>
            <w:tcBorders>
              <w:top w:val="single" w:color="000000" w:sz="8" w:space="0"/>
              <w:left w:val="single" w:color="000000" w:sz="8" w:space="0"/>
              <w:bottom w:val="single" w:color="000000" w:sz="8" w:space="0"/>
              <w:right w:val="nil"/>
            </w:tcBorders>
            <w:shd w:val="clear" w:color="auto" w:fill="auto"/>
            <w:vAlign w:val="center"/>
          </w:tcPr>
          <w:p w14:paraId="57CEA490">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部分指标值设置不准确</w:t>
            </w:r>
          </w:p>
        </w:tc>
      </w:tr>
      <w:tr w14:paraId="4372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239" w:type="dxa"/>
            <w:gridSpan w:val="2"/>
            <w:tcBorders>
              <w:top w:val="single" w:color="000000" w:sz="8" w:space="0"/>
              <w:left w:val="nil"/>
              <w:bottom w:val="single" w:color="000000" w:sz="12" w:space="0"/>
              <w:right w:val="single" w:color="000000" w:sz="8" w:space="0"/>
            </w:tcBorders>
            <w:shd w:val="clear" w:color="auto" w:fill="auto"/>
            <w:vAlign w:val="center"/>
          </w:tcPr>
          <w:p w14:paraId="58E9CAC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决策指标得分合计</w:t>
            </w:r>
          </w:p>
        </w:tc>
        <w:tc>
          <w:tcPr>
            <w:tcW w:w="851"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118542A3">
            <w:pPr>
              <w:keepNext w:val="0"/>
              <w:keepLines w:val="0"/>
              <w:widowControl/>
              <w:suppressLineNumbers w:val="0"/>
              <w:ind w:left="0" w:leftChars="0" w:firstLine="210" w:firstLineChars="10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840"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18E03306">
            <w:pPr>
              <w:keepNext w:val="0"/>
              <w:keepLines w:val="0"/>
              <w:widowControl/>
              <w:suppressLineNumbers w:val="0"/>
              <w:ind w:left="0" w:leftChars="0" w:firstLine="210" w:firstLineChars="100"/>
              <w:jc w:val="both"/>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13</w:t>
            </w:r>
          </w:p>
        </w:tc>
        <w:tc>
          <w:tcPr>
            <w:tcW w:w="125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388BC543">
            <w:pPr>
              <w:keepNext w:val="0"/>
              <w:keepLines w:val="0"/>
              <w:widowControl/>
              <w:suppressLineNumbers w:val="0"/>
              <w:ind w:left="0" w:leftChars="0" w:firstLine="211" w:firstLineChars="10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86.67%</w:t>
            </w:r>
          </w:p>
        </w:tc>
        <w:tc>
          <w:tcPr>
            <w:tcW w:w="2553" w:type="dxa"/>
            <w:tcBorders>
              <w:top w:val="single" w:color="000000" w:sz="8" w:space="0"/>
              <w:left w:val="single" w:color="000000" w:sz="8" w:space="0"/>
              <w:bottom w:val="single" w:color="000000" w:sz="12" w:space="0"/>
              <w:right w:val="nil"/>
            </w:tcBorders>
            <w:shd w:val="clear" w:color="auto" w:fill="auto"/>
            <w:vAlign w:val="center"/>
          </w:tcPr>
          <w:p w14:paraId="68807B4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bl>
    <w:p w14:paraId="2677B8A3">
      <w:pPr>
        <w:keepNext w:val="0"/>
        <w:keepLines w:val="0"/>
        <w:pageBreakBefore w:val="0"/>
        <w:widowControl w:val="0"/>
        <w:kinsoku/>
        <w:wordWrap/>
        <w:overflowPunct/>
        <w:topLinePunct w:val="0"/>
        <w:autoSpaceDE/>
        <w:autoSpaceDN/>
        <w:bidi w:val="0"/>
        <w:adjustRightInd w:val="0"/>
        <w:snapToGrid w:val="0"/>
        <w:spacing w:line="240" w:lineRule="auto"/>
        <w:ind w:firstLine="602"/>
        <w:textAlignment w:val="auto"/>
        <w:rPr>
          <w:rFonts w:hint="eastAsia"/>
          <w:b/>
          <w:bCs/>
        </w:rPr>
      </w:pPr>
    </w:p>
    <w:p w14:paraId="135462FB">
      <w:pPr>
        <w:ind w:firstLine="602"/>
        <w:rPr>
          <w:rFonts w:hint="eastAsia"/>
          <w:b/>
          <w:bCs/>
          <w:sz w:val="32"/>
          <w:szCs w:val="32"/>
        </w:rPr>
      </w:pPr>
      <w:r>
        <w:rPr>
          <w:rFonts w:hint="eastAsia"/>
          <w:b/>
          <w:bCs/>
          <w:sz w:val="32"/>
          <w:szCs w:val="32"/>
        </w:rPr>
        <w:t>1.项目立项</w:t>
      </w:r>
    </w:p>
    <w:p w14:paraId="602AEA89">
      <w:pPr>
        <w:bidi w:val="0"/>
        <w:rPr>
          <w:rFonts w:hint="default" w:ascii="Times New Roman" w:hAnsi="Times New Roman" w:cs="Times New Roman"/>
          <w:lang w:val="en-US" w:eastAsia="zh-CN"/>
        </w:rPr>
      </w:pPr>
      <w:r>
        <w:rPr>
          <w:rFonts w:hint="eastAsia" w:ascii="Times New Roman" w:hAnsi="Times New Roman" w:cs="Times New Roman"/>
          <w:lang w:val="en-US" w:eastAsia="zh-CN"/>
        </w:rPr>
        <w:t>（1）立项依据充分性</w:t>
      </w:r>
    </w:p>
    <w:p w14:paraId="56C687BB">
      <w:pPr>
        <w:bidi w:val="0"/>
        <w:rPr>
          <w:rFonts w:hint="default"/>
          <w:lang w:val="en-US" w:eastAsia="zh-CN"/>
        </w:rPr>
      </w:pPr>
      <w:r>
        <w:rPr>
          <w:rFonts w:hint="eastAsia"/>
          <w:lang w:val="en-US" w:eastAsia="zh-CN"/>
        </w:rPr>
        <w:t>本项目符合相关政策、国民经济发展规划，与部门职责范围相符，属于部门履职所需，属于公共财政支持范围，符合中央、地方事权支出责任划分原则，立项依据充分。此项分值3分，根据评分标准，本指标评价得3分。</w:t>
      </w:r>
    </w:p>
    <w:p w14:paraId="21CFA802">
      <w:pPr>
        <w:bidi w:val="0"/>
        <w:rPr>
          <w:rFonts w:hint="default" w:ascii="Times New Roman" w:hAnsi="Times New Roman" w:cs="Times New Roman"/>
          <w:lang w:val="en-US" w:eastAsia="zh-CN"/>
        </w:rPr>
      </w:pPr>
      <w:r>
        <w:rPr>
          <w:rFonts w:hint="eastAsia" w:ascii="Times New Roman" w:hAnsi="Times New Roman" w:cs="Times New Roman"/>
          <w:lang w:val="en-US" w:eastAsia="zh-CN"/>
        </w:rPr>
        <w:t>（2）立项程序规范性</w:t>
      </w:r>
    </w:p>
    <w:p w14:paraId="786F3E56">
      <w:pPr>
        <w:bidi w:val="0"/>
        <w:rPr>
          <w:rFonts w:hint="default"/>
          <w:lang w:val="en-US" w:eastAsia="zh-CN"/>
        </w:rPr>
      </w:pPr>
      <w:r>
        <w:rPr>
          <w:rFonts w:hint="eastAsia"/>
          <w:lang w:val="en-US" w:eastAsia="zh-CN"/>
        </w:rPr>
        <w:t>该项目按照规定的程序申请设立，相关的审批文件、材料符合相关要求。此项分值2分，根据评分标准，本指标评价得2分。</w:t>
      </w:r>
    </w:p>
    <w:p w14:paraId="4A1BF941">
      <w:pPr>
        <w:ind w:firstLine="602"/>
        <w:rPr>
          <w:rFonts w:hint="eastAsia"/>
          <w:b/>
          <w:bCs/>
          <w:sz w:val="32"/>
          <w:szCs w:val="32"/>
        </w:rPr>
      </w:pPr>
      <w:r>
        <w:rPr>
          <w:rFonts w:hint="eastAsia"/>
          <w:b/>
          <w:bCs/>
          <w:sz w:val="32"/>
          <w:szCs w:val="32"/>
        </w:rPr>
        <w:t>2.项目目标</w:t>
      </w:r>
    </w:p>
    <w:p w14:paraId="1FA71BAD">
      <w:pPr>
        <w:bidi w:val="0"/>
        <w:rPr>
          <w:rFonts w:hint="default" w:ascii="Times New Roman" w:hAnsi="Times New Roman" w:cs="Times New Roman"/>
          <w:lang w:val="en-US" w:eastAsia="zh-CN"/>
        </w:rPr>
      </w:pPr>
      <w:r>
        <w:rPr>
          <w:rFonts w:hint="eastAsia" w:ascii="Times New Roman" w:hAnsi="Times New Roman" w:cs="Times New Roman"/>
          <w:lang w:val="en-US" w:eastAsia="zh-CN"/>
        </w:rPr>
        <w:t>（1）绩效目标合理性</w:t>
      </w:r>
    </w:p>
    <w:p w14:paraId="376A5B5D">
      <w:pPr>
        <w:bidi w:val="0"/>
        <w:rPr>
          <w:rFonts w:hint="eastAsia"/>
          <w:lang w:val="en-US" w:eastAsia="zh-CN"/>
        </w:rPr>
      </w:pPr>
      <w:r>
        <w:rPr>
          <w:rFonts w:hint="eastAsia"/>
          <w:lang w:val="en-US" w:eastAsia="zh-CN"/>
        </w:rPr>
        <w:t>项目有绩效目标，由《办案（业务）经费项目绩效目标表》得知，该项目绩效目标为“保障差旅费、印刷费、公务用车运行维护费、委托业务费、业务维修费、培训费等支出；加强法律监督等职能；增加年度案件办理数量、减短案件办理时限、提升案件当事人满意度。”</w:t>
      </w:r>
    </w:p>
    <w:p w14:paraId="666384E0">
      <w:pPr>
        <w:bidi w:val="0"/>
        <w:rPr>
          <w:rFonts w:hint="default"/>
          <w:lang w:val="en-US" w:eastAsia="zh-CN"/>
        </w:rPr>
      </w:pPr>
      <w:r>
        <w:rPr>
          <w:rFonts w:hint="eastAsia"/>
          <w:lang w:val="en-US" w:eastAsia="zh-CN"/>
        </w:rPr>
        <w:t>通过上述绩效目标的分析绩效目标与实际工作内容具有相关性；项目预期产出效益和效果符合正常的业绩水平；与预算确定的项目投资额或资金量相匹配。此项分值3分，根据评分标准，本指标评价得3分。</w:t>
      </w:r>
    </w:p>
    <w:p w14:paraId="720BB853">
      <w:pPr>
        <w:bidi w:val="0"/>
        <w:rPr>
          <w:rFonts w:hint="default" w:ascii="Times New Roman" w:hAnsi="Times New Roman" w:cs="Times New Roman"/>
          <w:lang w:val="en-US" w:eastAsia="zh-CN"/>
        </w:rPr>
      </w:pPr>
      <w:r>
        <w:rPr>
          <w:rFonts w:hint="eastAsia" w:ascii="Times New Roman" w:hAnsi="Times New Roman" w:cs="Times New Roman"/>
          <w:lang w:val="en-US" w:eastAsia="zh-CN"/>
        </w:rPr>
        <w:t>（2）绩效指标明确性</w:t>
      </w:r>
    </w:p>
    <w:p w14:paraId="371E110E">
      <w:pPr>
        <w:bidi w:val="0"/>
        <w:rPr>
          <w:rFonts w:hint="default"/>
          <w:lang w:val="en-US" w:eastAsia="zh-CN"/>
        </w:rPr>
      </w:pPr>
      <w:r>
        <w:rPr>
          <w:rFonts w:hint="eastAsia"/>
          <w:lang w:val="en-US" w:eastAsia="zh-CN"/>
        </w:rPr>
        <w:t>本项目将项目绩效目标细化分解为具体的绩效指标；设置的绩效指标清晰、指标值可衡量，指标设置与项目目标任务数或计划数相对应。此项分值3分，根据评分标准，本指标评价得3分。</w:t>
      </w:r>
    </w:p>
    <w:p w14:paraId="398EFAA2">
      <w:pPr>
        <w:ind w:firstLine="602"/>
        <w:rPr>
          <w:rFonts w:hint="eastAsia"/>
          <w:b/>
          <w:bCs/>
          <w:sz w:val="32"/>
          <w:szCs w:val="32"/>
        </w:rPr>
      </w:pPr>
      <w:r>
        <w:rPr>
          <w:rFonts w:hint="eastAsia"/>
          <w:b/>
          <w:bCs/>
          <w:sz w:val="32"/>
          <w:szCs w:val="32"/>
        </w:rPr>
        <w:t>3.资金投入</w:t>
      </w:r>
    </w:p>
    <w:p w14:paraId="43AF82B7">
      <w:pPr>
        <w:bidi w:val="0"/>
        <w:rPr>
          <w:rFonts w:hint="eastAsia" w:ascii="Times New Roman" w:hAnsi="Times New Roman" w:cs="Times New Roman"/>
          <w:lang w:val="en-US" w:eastAsia="zh-CN"/>
        </w:rPr>
      </w:pPr>
      <w:r>
        <w:rPr>
          <w:rFonts w:hint="eastAsia" w:ascii="Times New Roman" w:hAnsi="Times New Roman" w:cs="Times New Roman"/>
          <w:lang w:val="en-US" w:eastAsia="zh-CN"/>
        </w:rPr>
        <w:t>（1）预算编制科学性</w:t>
      </w:r>
    </w:p>
    <w:p w14:paraId="4180B75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本项目资金预算内容与项目内容匹配，预算额度测算依据充分，按照标准编制，预算确定的项目投资额或资金量与工作任务相匹配。</w:t>
      </w:r>
      <w:r>
        <w:rPr>
          <w:rFonts w:hint="default" w:ascii="仿宋_GB2312" w:hAnsi="宋体" w:eastAsia="仿宋_GB2312" w:cs="仿宋_GB2312"/>
          <w:color w:val="000000"/>
          <w:kern w:val="0"/>
          <w:sz w:val="32"/>
          <w:szCs w:val="32"/>
          <w:lang w:val="en-US" w:eastAsia="zh-CN" w:bidi="ar"/>
        </w:rPr>
        <w:t>此项分值</w:t>
      </w:r>
      <w:r>
        <w:rPr>
          <w:rFonts w:hint="eastAsia" w:hAnsi="宋体"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分，根据评分标准，本指标评价得</w:t>
      </w:r>
      <w:r>
        <w:rPr>
          <w:rFonts w:hint="eastAsia" w:hAnsi="宋体"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分。</w:t>
      </w:r>
    </w:p>
    <w:p w14:paraId="02FDC53A">
      <w:pPr>
        <w:bidi w:val="0"/>
        <w:rPr>
          <w:rFonts w:hint="default" w:ascii="Times New Roman" w:hAnsi="Times New Roman" w:cs="Times New Roman"/>
          <w:lang w:val="en-US" w:eastAsia="zh-CN"/>
        </w:rPr>
      </w:pPr>
      <w:r>
        <w:rPr>
          <w:rFonts w:hint="eastAsia" w:ascii="Times New Roman" w:hAnsi="Times New Roman" w:cs="Times New Roman"/>
          <w:lang w:val="en-US" w:eastAsia="zh-CN"/>
        </w:rPr>
        <w:t>（2）资金投入分配合理性</w:t>
      </w:r>
    </w:p>
    <w:p w14:paraId="606F1E93">
      <w:pPr>
        <w:bidi w:val="0"/>
        <w:rPr>
          <w:rFonts w:hint="default"/>
          <w:sz w:val="32"/>
          <w:szCs w:val="32"/>
          <w:lang w:val="en-US" w:eastAsia="zh-CN"/>
        </w:rPr>
      </w:pPr>
      <w:r>
        <w:rPr>
          <w:rFonts w:hint="eastAsia"/>
          <w:sz w:val="32"/>
          <w:szCs w:val="32"/>
          <w:lang w:val="en-US" w:eastAsia="zh-CN"/>
        </w:rPr>
        <w:t>本项目的资金支出方向为委托业务费90.00万元、公车维护25.00万元，但项目资金总额为353.96万元，故项目资金支出方向不明确、</w:t>
      </w:r>
      <w:bookmarkStart w:id="201" w:name="_GoBack"/>
      <w:bookmarkEnd w:id="201"/>
      <w:r>
        <w:rPr>
          <w:rFonts w:hint="eastAsia"/>
          <w:sz w:val="32"/>
          <w:szCs w:val="32"/>
          <w:lang w:val="en-US" w:eastAsia="zh-CN"/>
        </w:rPr>
        <w:t>项目资金分配额度不合理。此项分值2分，根据评分标准，本指标评价得0分。</w:t>
      </w:r>
    </w:p>
    <w:p w14:paraId="2D50FEC5">
      <w:pPr>
        <w:widowControl/>
        <w:ind w:firstLine="643"/>
        <w:jc w:val="left"/>
        <w:outlineLvl w:val="1"/>
        <w:rPr>
          <w:rFonts w:eastAsia="楷体" w:cs="楷体"/>
          <w:b/>
          <w:kern w:val="0"/>
          <w:sz w:val="32"/>
          <w:szCs w:val="32"/>
          <w:lang w:bidi="ar"/>
        </w:rPr>
      </w:pPr>
      <w:bookmarkStart w:id="119" w:name="_Toc13082"/>
      <w:bookmarkStart w:id="120" w:name="_Toc61482983"/>
      <w:bookmarkStart w:id="121" w:name="_Toc61482855"/>
      <w:bookmarkStart w:id="122" w:name="_Toc61482774"/>
      <w:bookmarkStart w:id="123" w:name="_Toc13123"/>
      <w:bookmarkStart w:id="124" w:name="_Toc2033"/>
      <w:r>
        <w:rPr>
          <w:rFonts w:hint="eastAsia" w:eastAsia="楷体" w:cs="楷体"/>
          <w:b/>
          <w:kern w:val="0"/>
          <w:sz w:val="32"/>
          <w:szCs w:val="32"/>
          <w:lang w:bidi="ar"/>
        </w:rPr>
        <w:t>（二）</w:t>
      </w:r>
      <w:bookmarkEnd w:id="119"/>
      <w:bookmarkEnd w:id="120"/>
      <w:bookmarkEnd w:id="121"/>
      <w:bookmarkEnd w:id="122"/>
      <w:r>
        <w:rPr>
          <w:rFonts w:hint="eastAsia" w:eastAsia="楷体" w:cs="楷体"/>
          <w:b/>
          <w:kern w:val="0"/>
          <w:sz w:val="32"/>
          <w:szCs w:val="32"/>
          <w:lang w:bidi="ar"/>
        </w:rPr>
        <w:t>项目过程情况</w:t>
      </w:r>
      <w:bookmarkEnd w:id="123"/>
      <w:bookmarkEnd w:id="124"/>
    </w:p>
    <w:p w14:paraId="137F8D9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项目过程主要从资金管理、组织实施两方面予以考察。该部分分值25分，评价得分</w:t>
      </w:r>
      <w:r>
        <w:rPr>
          <w:rFonts w:hint="eastAsia" w:hAnsi="宋体" w:cs="仿宋_GB2312"/>
          <w:color w:val="000000"/>
          <w:kern w:val="0"/>
          <w:sz w:val="32"/>
          <w:szCs w:val="32"/>
          <w:lang w:val="en-US" w:eastAsia="zh-CN" w:bidi="ar"/>
        </w:rPr>
        <w:t>25</w:t>
      </w:r>
      <w:r>
        <w:rPr>
          <w:rFonts w:hint="eastAsia" w:ascii="仿宋_GB2312" w:hAnsi="宋体" w:eastAsia="仿宋_GB2312" w:cs="仿宋_GB2312"/>
          <w:color w:val="000000"/>
          <w:kern w:val="0"/>
          <w:sz w:val="32"/>
          <w:szCs w:val="32"/>
          <w:lang w:val="en-US" w:eastAsia="zh-CN" w:bidi="ar"/>
        </w:rPr>
        <w:t>分，得分率</w:t>
      </w:r>
      <w:r>
        <w:rPr>
          <w:rFonts w:hint="eastAsia" w:hAnsi="宋体" w:cs="仿宋_GB2312"/>
          <w:color w:val="000000"/>
          <w:kern w:val="0"/>
          <w:sz w:val="32"/>
          <w:szCs w:val="32"/>
          <w:lang w:val="en-US" w:eastAsia="zh-CN" w:bidi="ar"/>
        </w:rPr>
        <w:t>100</w:t>
      </w:r>
      <w:r>
        <w:rPr>
          <w:rFonts w:hint="eastAsia" w:ascii="仿宋_GB2312" w:hAnsi="宋体" w:eastAsia="仿宋_GB2312" w:cs="仿宋_GB2312"/>
          <w:color w:val="000000"/>
          <w:kern w:val="0"/>
          <w:sz w:val="32"/>
          <w:szCs w:val="32"/>
          <w:lang w:val="en-US" w:eastAsia="zh-CN" w:bidi="ar"/>
        </w:rPr>
        <w:t>%，具体情况详见表</w:t>
      </w:r>
      <w:r>
        <w:rPr>
          <w:rFonts w:hint="default"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-2。</w:t>
      </w:r>
    </w:p>
    <w:p w14:paraId="29217EE1">
      <w:pPr>
        <w:ind w:firstLine="0" w:firstLineChars="0"/>
        <w:jc w:val="center"/>
        <w:rPr>
          <w:rFonts w:ascii="仿宋" w:hAnsi="仿宋" w:eastAsia="仿宋" w:cs="仿宋"/>
          <w:b/>
          <w:bCs/>
          <w:sz w:val="24"/>
        </w:rPr>
      </w:pPr>
      <w:r>
        <w:rPr>
          <w:rFonts w:hint="eastAsia" w:ascii="仿宋" w:hAnsi="仿宋" w:eastAsia="仿宋" w:cs="仿宋"/>
          <w:b/>
          <w:bCs/>
          <w:sz w:val="24"/>
        </w:rPr>
        <w:t>表4-2  项目过程得分表</w:t>
      </w:r>
    </w:p>
    <w:tbl>
      <w:tblPr>
        <w:tblStyle w:val="23"/>
        <w:tblW w:w="884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818"/>
        <w:gridCol w:w="885"/>
        <w:gridCol w:w="900"/>
        <w:gridCol w:w="990"/>
        <w:gridCol w:w="3052"/>
      </w:tblGrid>
      <w:tr w14:paraId="08DDFC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1197" w:type="dxa"/>
            <w:tcBorders>
              <w:tl2br w:val="nil"/>
              <w:tr2bl w:val="nil"/>
            </w:tcBorders>
            <w:shd w:val="clear" w:color="auto" w:fill="auto"/>
            <w:vAlign w:val="center"/>
          </w:tcPr>
          <w:p w14:paraId="30705031">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二级指标</w:t>
            </w:r>
          </w:p>
        </w:tc>
        <w:tc>
          <w:tcPr>
            <w:tcW w:w="1818" w:type="dxa"/>
            <w:tcBorders>
              <w:tl2br w:val="nil"/>
              <w:tr2bl w:val="nil"/>
            </w:tcBorders>
            <w:shd w:val="clear" w:color="auto" w:fill="auto"/>
            <w:vAlign w:val="center"/>
          </w:tcPr>
          <w:p w14:paraId="3386EB43">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三级指标</w:t>
            </w:r>
          </w:p>
        </w:tc>
        <w:tc>
          <w:tcPr>
            <w:tcW w:w="885" w:type="dxa"/>
            <w:tcBorders>
              <w:tl2br w:val="nil"/>
              <w:tr2bl w:val="nil"/>
            </w:tcBorders>
            <w:shd w:val="clear" w:color="auto" w:fill="auto"/>
            <w:vAlign w:val="center"/>
          </w:tcPr>
          <w:p w14:paraId="01D2CACE">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权重</w:t>
            </w:r>
          </w:p>
        </w:tc>
        <w:tc>
          <w:tcPr>
            <w:tcW w:w="900" w:type="dxa"/>
            <w:tcBorders>
              <w:tl2br w:val="nil"/>
              <w:tr2bl w:val="nil"/>
            </w:tcBorders>
            <w:shd w:val="clear" w:color="auto" w:fill="auto"/>
            <w:vAlign w:val="center"/>
          </w:tcPr>
          <w:p w14:paraId="1A95BF40">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得分</w:t>
            </w:r>
          </w:p>
        </w:tc>
        <w:tc>
          <w:tcPr>
            <w:tcW w:w="990" w:type="dxa"/>
            <w:tcBorders>
              <w:tl2br w:val="nil"/>
              <w:tr2bl w:val="nil"/>
            </w:tcBorders>
            <w:shd w:val="clear" w:color="auto" w:fill="auto"/>
            <w:vAlign w:val="center"/>
          </w:tcPr>
          <w:p w14:paraId="529C1481">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得分率</w:t>
            </w:r>
          </w:p>
        </w:tc>
        <w:tc>
          <w:tcPr>
            <w:tcW w:w="3052" w:type="dxa"/>
            <w:tcBorders>
              <w:tl2br w:val="nil"/>
              <w:tr2bl w:val="nil"/>
            </w:tcBorders>
            <w:shd w:val="clear" w:color="auto" w:fill="auto"/>
            <w:vAlign w:val="center"/>
          </w:tcPr>
          <w:p w14:paraId="5D34B093">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扣分要点</w:t>
            </w:r>
          </w:p>
        </w:tc>
      </w:tr>
      <w:tr w14:paraId="6989FB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97" w:type="dxa"/>
            <w:vMerge w:val="restart"/>
            <w:tcBorders>
              <w:tl2br w:val="nil"/>
              <w:tr2bl w:val="nil"/>
            </w:tcBorders>
            <w:shd w:val="clear" w:color="auto" w:fill="auto"/>
            <w:vAlign w:val="center"/>
          </w:tcPr>
          <w:p w14:paraId="0CA8D763">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资金管理</w:t>
            </w:r>
          </w:p>
        </w:tc>
        <w:tc>
          <w:tcPr>
            <w:tcW w:w="1818" w:type="dxa"/>
            <w:tcBorders>
              <w:tl2br w:val="nil"/>
              <w:tr2bl w:val="nil"/>
            </w:tcBorders>
            <w:shd w:val="clear" w:color="auto" w:fill="auto"/>
            <w:vAlign w:val="center"/>
          </w:tcPr>
          <w:p w14:paraId="4C52D6AE">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资金到位率</w:t>
            </w:r>
          </w:p>
        </w:tc>
        <w:tc>
          <w:tcPr>
            <w:tcW w:w="885" w:type="dxa"/>
            <w:tcBorders>
              <w:tl2br w:val="nil"/>
              <w:tr2bl w:val="nil"/>
            </w:tcBorders>
            <w:shd w:val="clear" w:color="auto" w:fill="auto"/>
            <w:vAlign w:val="center"/>
          </w:tcPr>
          <w:p w14:paraId="0DA26F53">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00" w:type="dxa"/>
            <w:tcBorders>
              <w:tl2br w:val="nil"/>
              <w:tr2bl w:val="nil"/>
            </w:tcBorders>
            <w:shd w:val="clear" w:color="auto" w:fill="auto"/>
            <w:vAlign w:val="center"/>
          </w:tcPr>
          <w:p w14:paraId="0FC1C6B7">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90" w:type="dxa"/>
            <w:tcBorders>
              <w:tl2br w:val="nil"/>
              <w:tr2bl w:val="nil"/>
            </w:tcBorders>
            <w:shd w:val="clear" w:color="auto" w:fill="auto"/>
            <w:vAlign w:val="center"/>
          </w:tcPr>
          <w:p w14:paraId="03B219FA">
            <w:pPr>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3052" w:type="dxa"/>
            <w:tcBorders>
              <w:tl2br w:val="nil"/>
              <w:tr2bl w:val="nil"/>
            </w:tcBorders>
            <w:shd w:val="clear" w:color="auto" w:fill="auto"/>
            <w:vAlign w:val="center"/>
          </w:tcPr>
          <w:p w14:paraId="39D9D735">
            <w:pPr>
              <w:spacing w:line="240" w:lineRule="auto"/>
              <w:ind w:left="0" w:leftChars="0" w:firstLine="0" w:firstLineChars="0"/>
              <w:jc w:val="center"/>
              <w:rPr>
                <w:rFonts w:hint="eastAsia" w:ascii="仿宋" w:hAnsi="仿宋" w:eastAsia="仿宋" w:cs="仿宋"/>
                <w:kern w:val="0"/>
                <w:sz w:val="21"/>
                <w:szCs w:val="21"/>
              </w:rPr>
            </w:pPr>
            <w:r>
              <w:rPr>
                <w:rFonts w:hint="eastAsia" w:ascii="仿宋" w:hAnsi="仿宋" w:eastAsia="仿宋" w:cs="仿宋"/>
                <w:b/>
                <w:kern w:val="0"/>
                <w:sz w:val="21"/>
                <w:szCs w:val="21"/>
              </w:rPr>
              <w:t>-</w:t>
            </w:r>
          </w:p>
        </w:tc>
      </w:tr>
      <w:tr w14:paraId="0003BA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7" w:type="dxa"/>
            <w:vMerge w:val="continue"/>
            <w:tcBorders>
              <w:tl2br w:val="nil"/>
              <w:tr2bl w:val="nil"/>
            </w:tcBorders>
            <w:shd w:val="clear" w:color="auto" w:fill="auto"/>
            <w:vAlign w:val="center"/>
          </w:tcPr>
          <w:p w14:paraId="68DA5FA1">
            <w:pPr>
              <w:spacing w:line="240" w:lineRule="auto"/>
              <w:ind w:firstLine="0" w:firstLineChars="0"/>
              <w:jc w:val="center"/>
              <w:rPr>
                <w:rFonts w:hint="eastAsia" w:ascii="仿宋" w:hAnsi="仿宋" w:eastAsia="仿宋" w:cs="仿宋"/>
                <w:kern w:val="0"/>
                <w:sz w:val="21"/>
                <w:szCs w:val="21"/>
              </w:rPr>
            </w:pPr>
          </w:p>
        </w:tc>
        <w:tc>
          <w:tcPr>
            <w:tcW w:w="1818" w:type="dxa"/>
            <w:tcBorders>
              <w:tl2br w:val="nil"/>
              <w:tr2bl w:val="nil"/>
            </w:tcBorders>
            <w:shd w:val="clear" w:color="auto" w:fill="auto"/>
            <w:vAlign w:val="center"/>
          </w:tcPr>
          <w:p w14:paraId="33DC50DE">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预算执行率</w:t>
            </w:r>
          </w:p>
        </w:tc>
        <w:tc>
          <w:tcPr>
            <w:tcW w:w="885" w:type="dxa"/>
            <w:tcBorders>
              <w:tl2br w:val="nil"/>
              <w:tr2bl w:val="nil"/>
            </w:tcBorders>
            <w:shd w:val="clear" w:color="auto" w:fill="auto"/>
            <w:vAlign w:val="center"/>
          </w:tcPr>
          <w:p w14:paraId="5D2D233E">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00" w:type="dxa"/>
            <w:tcBorders>
              <w:tl2br w:val="nil"/>
              <w:tr2bl w:val="nil"/>
            </w:tcBorders>
            <w:shd w:val="clear" w:color="auto" w:fill="auto"/>
            <w:vAlign w:val="center"/>
          </w:tcPr>
          <w:p w14:paraId="1E5608BB">
            <w:pPr>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90" w:type="dxa"/>
            <w:tcBorders>
              <w:tl2br w:val="nil"/>
              <w:tr2bl w:val="nil"/>
            </w:tcBorders>
            <w:shd w:val="clear" w:color="auto" w:fill="auto"/>
            <w:vAlign w:val="center"/>
          </w:tcPr>
          <w:p w14:paraId="6D178D5B">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3052" w:type="dxa"/>
            <w:tcBorders>
              <w:tl2br w:val="nil"/>
              <w:tr2bl w:val="nil"/>
            </w:tcBorders>
            <w:shd w:val="clear" w:color="auto" w:fill="auto"/>
            <w:vAlign w:val="center"/>
          </w:tcPr>
          <w:p w14:paraId="06A3C3F3">
            <w:pPr>
              <w:spacing w:line="240" w:lineRule="auto"/>
              <w:ind w:left="0" w:leftChars="0" w:firstLine="0" w:firstLineChars="0"/>
              <w:jc w:val="center"/>
              <w:rPr>
                <w:rFonts w:hint="eastAsia" w:ascii="仿宋" w:hAnsi="仿宋" w:eastAsia="仿宋" w:cs="仿宋"/>
                <w:kern w:val="0"/>
                <w:sz w:val="21"/>
                <w:szCs w:val="21"/>
                <w:lang w:val="en-US"/>
              </w:rPr>
            </w:pPr>
            <w:r>
              <w:rPr>
                <w:rFonts w:hint="eastAsia" w:ascii="仿宋" w:hAnsi="仿宋" w:eastAsia="仿宋" w:cs="仿宋"/>
                <w:b/>
                <w:kern w:val="0"/>
                <w:sz w:val="21"/>
                <w:szCs w:val="21"/>
              </w:rPr>
              <w:t>-</w:t>
            </w:r>
          </w:p>
        </w:tc>
      </w:tr>
      <w:tr w14:paraId="02E519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7" w:type="dxa"/>
            <w:vMerge w:val="continue"/>
            <w:tcBorders>
              <w:tl2br w:val="nil"/>
              <w:tr2bl w:val="nil"/>
            </w:tcBorders>
            <w:shd w:val="clear" w:color="auto" w:fill="auto"/>
            <w:vAlign w:val="center"/>
          </w:tcPr>
          <w:p w14:paraId="24029DCF">
            <w:pPr>
              <w:spacing w:line="240" w:lineRule="auto"/>
              <w:ind w:firstLine="0" w:firstLineChars="0"/>
              <w:jc w:val="center"/>
              <w:rPr>
                <w:rFonts w:hint="eastAsia" w:ascii="仿宋" w:hAnsi="仿宋" w:eastAsia="仿宋" w:cs="仿宋"/>
                <w:kern w:val="0"/>
                <w:sz w:val="21"/>
                <w:szCs w:val="21"/>
              </w:rPr>
            </w:pPr>
          </w:p>
        </w:tc>
        <w:tc>
          <w:tcPr>
            <w:tcW w:w="1818" w:type="dxa"/>
            <w:tcBorders>
              <w:tl2br w:val="nil"/>
              <w:tr2bl w:val="nil"/>
            </w:tcBorders>
            <w:shd w:val="clear" w:color="auto" w:fill="auto"/>
            <w:vAlign w:val="center"/>
          </w:tcPr>
          <w:p w14:paraId="715D4E3C">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资金使用合规性</w:t>
            </w:r>
          </w:p>
        </w:tc>
        <w:tc>
          <w:tcPr>
            <w:tcW w:w="885" w:type="dxa"/>
            <w:tcBorders>
              <w:tl2br w:val="nil"/>
              <w:tr2bl w:val="nil"/>
            </w:tcBorders>
            <w:shd w:val="clear" w:color="auto" w:fill="auto"/>
            <w:vAlign w:val="center"/>
          </w:tcPr>
          <w:p w14:paraId="0B347BE3">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00" w:type="dxa"/>
            <w:tcBorders>
              <w:tl2br w:val="nil"/>
              <w:tr2bl w:val="nil"/>
            </w:tcBorders>
            <w:shd w:val="clear" w:color="auto" w:fill="auto"/>
            <w:vAlign w:val="center"/>
          </w:tcPr>
          <w:p w14:paraId="12BD5187">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90" w:type="dxa"/>
            <w:tcBorders>
              <w:tl2br w:val="nil"/>
              <w:tr2bl w:val="nil"/>
            </w:tcBorders>
            <w:shd w:val="clear" w:color="auto" w:fill="auto"/>
            <w:vAlign w:val="center"/>
          </w:tcPr>
          <w:p w14:paraId="218EB074">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3052" w:type="dxa"/>
            <w:tcBorders>
              <w:tl2br w:val="nil"/>
              <w:tr2bl w:val="nil"/>
            </w:tcBorders>
            <w:shd w:val="clear" w:color="auto" w:fill="auto"/>
            <w:vAlign w:val="center"/>
          </w:tcPr>
          <w:p w14:paraId="25FD2B2A">
            <w:pPr>
              <w:spacing w:line="240" w:lineRule="auto"/>
              <w:ind w:left="0" w:leftChars="0"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b/>
                <w:kern w:val="0"/>
                <w:sz w:val="21"/>
                <w:szCs w:val="21"/>
              </w:rPr>
              <w:t>-</w:t>
            </w:r>
          </w:p>
        </w:tc>
      </w:tr>
      <w:tr w14:paraId="554513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97" w:type="dxa"/>
            <w:vMerge w:val="restart"/>
            <w:tcBorders>
              <w:tl2br w:val="nil"/>
              <w:tr2bl w:val="nil"/>
            </w:tcBorders>
            <w:shd w:val="clear" w:color="auto" w:fill="auto"/>
            <w:vAlign w:val="center"/>
          </w:tcPr>
          <w:p w14:paraId="5F6DE972">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组织实施</w:t>
            </w:r>
          </w:p>
        </w:tc>
        <w:tc>
          <w:tcPr>
            <w:tcW w:w="1818" w:type="dxa"/>
            <w:tcBorders>
              <w:tl2br w:val="nil"/>
              <w:tr2bl w:val="nil"/>
            </w:tcBorders>
            <w:shd w:val="clear" w:color="auto" w:fill="auto"/>
            <w:vAlign w:val="center"/>
          </w:tcPr>
          <w:p w14:paraId="31C7244D">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管理制度健全性</w:t>
            </w:r>
          </w:p>
        </w:tc>
        <w:tc>
          <w:tcPr>
            <w:tcW w:w="885" w:type="dxa"/>
            <w:tcBorders>
              <w:tl2br w:val="nil"/>
              <w:tr2bl w:val="nil"/>
            </w:tcBorders>
            <w:shd w:val="clear" w:color="auto" w:fill="auto"/>
            <w:vAlign w:val="center"/>
          </w:tcPr>
          <w:p w14:paraId="2B1C80C5">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00" w:type="dxa"/>
            <w:tcBorders>
              <w:tl2br w:val="nil"/>
              <w:tr2bl w:val="nil"/>
            </w:tcBorders>
            <w:shd w:val="clear" w:color="auto" w:fill="auto"/>
            <w:vAlign w:val="center"/>
          </w:tcPr>
          <w:p w14:paraId="37A1F117">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90" w:type="dxa"/>
            <w:tcBorders>
              <w:tl2br w:val="nil"/>
              <w:tr2bl w:val="nil"/>
            </w:tcBorders>
            <w:shd w:val="clear" w:color="auto" w:fill="auto"/>
            <w:vAlign w:val="center"/>
          </w:tcPr>
          <w:p w14:paraId="741DCA8B">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3052" w:type="dxa"/>
            <w:tcBorders>
              <w:tl2br w:val="nil"/>
              <w:tr2bl w:val="nil"/>
            </w:tcBorders>
            <w:shd w:val="clear" w:color="auto" w:fill="auto"/>
            <w:vAlign w:val="center"/>
          </w:tcPr>
          <w:p w14:paraId="20A77AD2">
            <w:pPr>
              <w:spacing w:line="240" w:lineRule="auto"/>
              <w:ind w:left="0" w:leftChars="0" w:firstLine="0" w:firstLineChars="0"/>
              <w:jc w:val="center"/>
              <w:rPr>
                <w:rFonts w:hint="eastAsia" w:ascii="仿宋" w:hAnsi="仿宋" w:eastAsia="仿宋" w:cs="仿宋"/>
                <w:bCs/>
                <w:kern w:val="0"/>
                <w:sz w:val="21"/>
                <w:szCs w:val="21"/>
                <w:lang w:val="en-US" w:eastAsia="zh-CN"/>
              </w:rPr>
            </w:pPr>
            <w:r>
              <w:rPr>
                <w:rFonts w:hint="eastAsia" w:ascii="仿宋" w:hAnsi="仿宋" w:eastAsia="仿宋" w:cs="仿宋"/>
                <w:b/>
                <w:kern w:val="0"/>
                <w:sz w:val="21"/>
                <w:szCs w:val="21"/>
              </w:rPr>
              <w:t>-</w:t>
            </w:r>
          </w:p>
        </w:tc>
      </w:tr>
      <w:tr w14:paraId="3A0D1A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tcBorders>
              <w:tl2br w:val="nil"/>
              <w:tr2bl w:val="nil"/>
            </w:tcBorders>
            <w:shd w:val="clear" w:color="auto" w:fill="auto"/>
            <w:vAlign w:val="center"/>
          </w:tcPr>
          <w:p w14:paraId="3A30FB37">
            <w:pPr>
              <w:spacing w:line="240" w:lineRule="auto"/>
              <w:ind w:firstLine="0" w:firstLineChars="0"/>
              <w:jc w:val="center"/>
              <w:rPr>
                <w:rFonts w:hint="eastAsia" w:ascii="仿宋" w:hAnsi="仿宋" w:eastAsia="仿宋" w:cs="仿宋"/>
                <w:kern w:val="0"/>
                <w:sz w:val="21"/>
                <w:szCs w:val="21"/>
              </w:rPr>
            </w:pPr>
          </w:p>
        </w:tc>
        <w:tc>
          <w:tcPr>
            <w:tcW w:w="1818" w:type="dxa"/>
            <w:tcBorders>
              <w:tl2br w:val="nil"/>
              <w:tr2bl w:val="nil"/>
            </w:tcBorders>
            <w:shd w:val="clear" w:color="auto" w:fill="auto"/>
            <w:vAlign w:val="center"/>
          </w:tcPr>
          <w:p w14:paraId="75430839">
            <w:pPr>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制度执行有效性</w:t>
            </w:r>
          </w:p>
        </w:tc>
        <w:tc>
          <w:tcPr>
            <w:tcW w:w="885" w:type="dxa"/>
            <w:tcBorders>
              <w:tl2br w:val="nil"/>
              <w:tr2bl w:val="nil"/>
            </w:tcBorders>
            <w:shd w:val="clear" w:color="auto" w:fill="auto"/>
            <w:vAlign w:val="center"/>
          </w:tcPr>
          <w:p w14:paraId="0EA1678E">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00" w:type="dxa"/>
            <w:tcBorders>
              <w:tl2br w:val="nil"/>
              <w:tr2bl w:val="nil"/>
            </w:tcBorders>
            <w:shd w:val="clear" w:color="auto" w:fill="auto"/>
            <w:vAlign w:val="center"/>
          </w:tcPr>
          <w:p w14:paraId="7A4BAD70">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90" w:type="dxa"/>
            <w:tcBorders>
              <w:tl2br w:val="nil"/>
              <w:tr2bl w:val="nil"/>
            </w:tcBorders>
            <w:shd w:val="clear" w:color="auto" w:fill="auto"/>
            <w:vAlign w:val="center"/>
          </w:tcPr>
          <w:p w14:paraId="52F143A2">
            <w:pPr>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3052" w:type="dxa"/>
            <w:tcBorders>
              <w:tl2br w:val="nil"/>
              <w:tr2bl w:val="nil"/>
            </w:tcBorders>
            <w:shd w:val="clear" w:color="auto" w:fill="auto"/>
            <w:vAlign w:val="center"/>
          </w:tcPr>
          <w:p w14:paraId="0ECC8FED">
            <w:pPr>
              <w:spacing w:before="41" w:beforeLines="10" w:line="264" w:lineRule="auto"/>
              <w:ind w:firstLine="0" w:firstLineChars="0"/>
              <w:jc w:val="center"/>
              <w:rPr>
                <w:rFonts w:hint="eastAsia" w:ascii="仿宋" w:hAnsi="仿宋" w:eastAsia="仿宋" w:cs="仿宋"/>
                <w:kern w:val="0"/>
                <w:sz w:val="21"/>
                <w:szCs w:val="21"/>
              </w:rPr>
            </w:pPr>
            <w:r>
              <w:rPr>
                <w:rFonts w:hint="eastAsia" w:ascii="仿宋" w:hAnsi="仿宋" w:eastAsia="仿宋" w:cs="仿宋"/>
                <w:b/>
                <w:bCs/>
                <w:kern w:val="0"/>
                <w:sz w:val="21"/>
                <w:szCs w:val="21"/>
              </w:rPr>
              <w:t>-</w:t>
            </w:r>
          </w:p>
        </w:tc>
      </w:tr>
      <w:tr w14:paraId="171E04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015" w:type="dxa"/>
            <w:gridSpan w:val="2"/>
            <w:tcBorders>
              <w:tl2br w:val="nil"/>
              <w:tr2bl w:val="nil"/>
            </w:tcBorders>
            <w:shd w:val="clear" w:color="auto" w:fill="auto"/>
            <w:vAlign w:val="center"/>
          </w:tcPr>
          <w:p w14:paraId="3F4F3938">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管理指标得分合计</w:t>
            </w:r>
          </w:p>
        </w:tc>
        <w:tc>
          <w:tcPr>
            <w:tcW w:w="885" w:type="dxa"/>
            <w:tcBorders>
              <w:tl2br w:val="nil"/>
              <w:tr2bl w:val="nil"/>
            </w:tcBorders>
            <w:shd w:val="clear" w:color="auto" w:fill="auto"/>
            <w:vAlign w:val="center"/>
          </w:tcPr>
          <w:p w14:paraId="0C8262DB">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fldChar w:fldCharType="begin"/>
            </w:r>
            <w:r>
              <w:rPr>
                <w:rFonts w:hint="eastAsia" w:ascii="仿宋" w:hAnsi="仿宋" w:eastAsia="仿宋" w:cs="仿宋"/>
                <w:b/>
                <w:kern w:val="0"/>
                <w:sz w:val="21"/>
                <w:szCs w:val="21"/>
              </w:rPr>
              <w:instrText xml:space="preserve"> =SUM(ABOVE) \* MERGEFORMAT </w:instrText>
            </w:r>
            <w:r>
              <w:rPr>
                <w:rFonts w:hint="eastAsia" w:ascii="仿宋" w:hAnsi="仿宋" w:eastAsia="仿宋" w:cs="仿宋"/>
                <w:b/>
                <w:kern w:val="0"/>
                <w:sz w:val="21"/>
                <w:szCs w:val="21"/>
              </w:rPr>
              <w:fldChar w:fldCharType="separate"/>
            </w:r>
            <w:r>
              <w:rPr>
                <w:rFonts w:hint="eastAsia" w:ascii="仿宋" w:hAnsi="仿宋" w:eastAsia="仿宋" w:cs="仿宋"/>
                <w:b/>
                <w:kern w:val="0"/>
                <w:sz w:val="21"/>
                <w:szCs w:val="21"/>
              </w:rPr>
              <w:t>25</w:t>
            </w:r>
            <w:r>
              <w:rPr>
                <w:rFonts w:hint="eastAsia" w:ascii="仿宋" w:hAnsi="仿宋" w:eastAsia="仿宋" w:cs="仿宋"/>
                <w:b/>
                <w:kern w:val="0"/>
                <w:sz w:val="21"/>
                <w:szCs w:val="21"/>
              </w:rPr>
              <w:fldChar w:fldCharType="end"/>
            </w:r>
          </w:p>
        </w:tc>
        <w:tc>
          <w:tcPr>
            <w:tcW w:w="900" w:type="dxa"/>
            <w:tcBorders>
              <w:tl2br w:val="nil"/>
              <w:tr2bl w:val="nil"/>
            </w:tcBorders>
            <w:shd w:val="clear" w:color="auto" w:fill="auto"/>
            <w:vAlign w:val="center"/>
          </w:tcPr>
          <w:p w14:paraId="4933B226">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fldChar w:fldCharType="begin"/>
            </w:r>
            <w:r>
              <w:rPr>
                <w:rFonts w:hint="eastAsia" w:ascii="仿宋" w:hAnsi="仿宋" w:eastAsia="仿宋" w:cs="仿宋"/>
                <w:b/>
                <w:kern w:val="0"/>
                <w:sz w:val="21"/>
                <w:szCs w:val="21"/>
              </w:rPr>
              <w:instrText xml:space="preserve"> =SUM(ABOVE) \* MERGEFORMAT </w:instrText>
            </w:r>
            <w:r>
              <w:rPr>
                <w:rFonts w:hint="eastAsia" w:ascii="仿宋" w:hAnsi="仿宋" w:eastAsia="仿宋" w:cs="仿宋"/>
                <w:b/>
                <w:kern w:val="0"/>
                <w:sz w:val="21"/>
                <w:szCs w:val="21"/>
              </w:rPr>
              <w:fldChar w:fldCharType="separate"/>
            </w:r>
            <w:r>
              <w:rPr>
                <w:rFonts w:hint="eastAsia" w:ascii="仿宋" w:hAnsi="仿宋" w:eastAsia="仿宋" w:cs="仿宋"/>
                <w:b/>
                <w:kern w:val="0"/>
                <w:sz w:val="21"/>
                <w:szCs w:val="21"/>
              </w:rPr>
              <w:t>25</w:t>
            </w:r>
            <w:r>
              <w:rPr>
                <w:rFonts w:hint="eastAsia" w:ascii="仿宋" w:hAnsi="仿宋" w:eastAsia="仿宋" w:cs="仿宋"/>
                <w:b/>
                <w:kern w:val="0"/>
                <w:sz w:val="21"/>
                <w:szCs w:val="21"/>
              </w:rPr>
              <w:fldChar w:fldCharType="end"/>
            </w:r>
          </w:p>
        </w:tc>
        <w:tc>
          <w:tcPr>
            <w:tcW w:w="990" w:type="dxa"/>
            <w:tcBorders>
              <w:tl2br w:val="nil"/>
              <w:tr2bl w:val="nil"/>
            </w:tcBorders>
            <w:shd w:val="clear" w:color="auto" w:fill="auto"/>
            <w:vAlign w:val="center"/>
          </w:tcPr>
          <w:p w14:paraId="5D611A05">
            <w:pPr>
              <w:spacing w:line="240" w:lineRule="auto"/>
              <w:ind w:firstLine="0" w:firstLineChars="0"/>
              <w:jc w:val="center"/>
              <w:rPr>
                <w:rFonts w:hint="eastAsia" w:ascii="仿宋" w:hAnsi="仿宋" w:eastAsia="仿宋" w:cs="仿宋"/>
                <w:b/>
                <w:kern w:val="0"/>
                <w:sz w:val="21"/>
                <w:szCs w:val="21"/>
                <w:lang w:val="en-US" w:eastAsia="zh-CN"/>
              </w:rPr>
            </w:pPr>
            <w:r>
              <w:rPr>
                <w:rFonts w:hint="eastAsia" w:ascii="仿宋" w:hAnsi="仿宋" w:eastAsia="仿宋" w:cs="仿宋"/>
                <w:b/>
                <w:kern w:val="0"/>
                <w:sz w:val="21"/>
                <w:szCs w:val="21"/>
                <w:lang w:val="en-US" w:eastAsia="zh-CN"/>
              </w:rPr>
              <w:t>100%</w:t>
            </w:r>
          </w:p>
        </w:tc>
        <w:tc>
          <w:tcPr>
            <w:tcW w:w="3052" w:type="dxa"/>
            <w:tcBorders>
              <w:tl2br w:val="nil"/>
              <w:tr2bl w:val="nil"/>
            </w:tcBorders>
            <w:shd w:val="clear" w:color="auto" w:fill="auto"/>
            <w:vAlign w:val="center"/>
          </w:tcPr>
          <w:p w14:paraId="26772F99">
            <w:pPr>
              <w:spacing w:line="240" w:lineRule="auto"/>
              <w:ind w:firstLine="0" w:firstLineChars="0"/>
              <w:jc w:val="center"/>
              <w:rPr>
                <w:rFonts w:hint="eastAsia" w:ascii="仿宋" w:hAnsi="仿宋" w:eastAsia="仿宋" w:cs="仿宋"/>
                <w:b/>
                <w:kern w:val="0"/>
                <w:sz w:val="21"/>
                <w:szCs w:val="21"/>
              </w:rPr>
            </w:pPr>
            <w:r>
              <w:rPr>
                <w:rFonts w:hint="eastAsia" w:ascii="仿宋" w:hAnsi="仿宋" w:eastAsia="仿宋" w:cs="仿宋"/>
                <w:b/>
                <w:kern w:val="0"/>
                <w:sz w:val="21"/>
                <w:szCs w:val="21"/>
              </w:rPr>
              <w:t>-</w:t>
            </w:r>
          </w:p>
        </w:tc>
      </w:tr>
    </w:tbl>
    <w:p w14:paraId="35699C83">
      <w:pPr>
        <w:keepNext w:val="0"/>
        <w:keepLines w:val="0"/>
        <w:pageBreakBefore w:val="0"/>
        <w:widowControl w:val="0"/>
        <w:kinsoku/>
        <w:wordWrap/>
        <w:overflowPunct/>
        <w:topLinePunct w:val="0"/>
        <w:autoSpaceDE/>
        <w:autoSpaceDN/>
        <w:bidi w:val="0"/>
        <w:adjustRightInd w:val="0"/>
        <w:snapToGrid w:val="0"/>
        <w:spacing w:line="240" w:lineRule="auto"/>
        <w:ind w:firstLine="602"/>
        <w:textAlignment w:val="auto"/>
        <w:rPr>
          <w:rFonts w:hint="eastAsia"/>
          <w:b/>
          <w:bCs/>
        </w:rPr>
      </w:pPr>
    </w:p>
    <w:p w14:paraId="66E5E76F">
      <w:pPr>
        <w:ind w:firstLine="602"/>
        <w:rPr>
          <w:rFonts w:hint="eastAsia"/>
          <w:b/>
          <w:bCs/>
          <w:sz w:val="32"/>
          <w:szCs w:val="32"/>
        </w:rPr>
      </w:pPr>
      <w:r>
        <w:rPr>
          <w:rFonts w:hint="eastAsia"/>
          <w:b/>
          <w:bCs/>
          <w:sz w:val="32"/>
          <w:szCs w:val="32"/>
        </w:rPr>
        <w:t>1.资金管理</w:t>
      </w:r>
    </w:p>
    <w:p w14:paraId="49286C54">
      <w:pPr>
        <w:bidi w:val="0"/>
        <w:rPr>
          <w:rFonts w:hint="default" w:ascii="Times New Roman" w:hAnsi="Times New Roman" w:cs="Times New Roman"/>
          <w:lang w:val="en-US" w:eastAsia="zh-CN"/>
        </w:rPr>
      </w:pPr>
      <w:bookmarkStart w:id="125" w:name="_Toc24605"/>
      <w:r>
        <w:rPr>
          <w:rFonts w:hint="eastAsia" w:ascii="Times New Roman" w:hAnsi="Times New Roman" w:cs="Times New Roman"/>
          <w:lang w:val="en-US" w:eastAsia="zh-CN"/>
        </w:rPr>
        <w:t>（1）资金到位率</w:t>
      </w:r>
    </w:p>
    <w:p w14:paraId="5400A74E">
      <w:pPr>
        <w:bidi w:val="0"/>
        <w:rPr>
          <w:rFonts w:hint="default" w:ascii="Times New Roman" w:hAnsi="Times New Roman" w:cs="Times New Roman"/>
          <w:lang w:val="en-US" w:eastAsia="zh-CN"/>
        </w:rPr>
      </w:pPr>
      <w:r>
        <w:rPr>
          <w:rFonts w:hint="eastAsia" w:ascii="Times New Roman" w:hAnsi="Times New Roman" w:cs="Times New Roman"/>
          <w:lang w:val="en-US" w:eastAsia="zh-CN"/>
        </w:rPr>
        <w:t>项目预算金额</w:t>
      </w:r>
      <w:r>
        <w:rPr>
          <w:rFonts w:hint="eastAsia" w:cs="Times New Roman"/>
          <w:lang w:val="en-US" w:eastAsia="zh-CN"/>
        </w:rPr>
        <w:t>353.96</w:t>
      </w:r>
      <w:r>
        <w:rPr>
          <w:rFonts w:hint="eastAsia" w:ascii="Times New Roman" w:hAnsi="Times New Roman" w:cs="Times New Roman"/>
          <w:lang w:val="en-US" w:eastAsia="zh-CN"/>
        </w:rPr>
        <w:t>万元，截至评价基准日，财政实际下达资金总额</w:t>
      </w:r>
      <w:r>
        <w:rPr>
          <w:rFonts w:hint="eastAsia" w:cs="Times New Roman"/>
          <w:lang w:val="en-US" w:eastAsia="zh-CN"/>
        </w:rPr>
        <w:t>353.96</w:t>
      </w:r>
      <w:r>
        <w:rPr>
          <w:rFonts w:hint="eastAsia" w:ascii="Times New Roman" w:hAnsi="Times New Roman" w:cs="Times New Roman"/>
          <w:lang w:val="en-US" w:eastAsia="zh-CN"/>
        </w:rPr>
        <w:t>万元，项目资金全部及时到位，资金到位率1</w:t>
      </w:r>
      <w:r>
        <w:rPr>
          <w:rFonts w:hint="default" w:ascii="Times New Roman" w:hAnsi="Times New Roman" w:cs="Times New Roman"/>
          <w:lang w:val="en-US" w:eastAsia="zh-CN"/>
        </w:rPr>
        <w:t>00</w:t>
      </w:r>
      <w:r>
        <w:rPr>
          <w:rFonts w:hint="eastAsia" w:ascii="Times New Roman" w:hAnsi="Times New Roman" w:cs="Times New Roman"/>
          <w:lang w:val="en-US" w:eastAsia="zh-CN"/>
        </w:rPr>
        <w:t>%。此项分值5分，根据评分标准，本指标评价得5分。</w:t>
      </w:r>
    </w:p>
    <w:bookmarkEnd w:id="125"/>
    <w:p w14:paraId="2CD3A145">
      <w:pPr>
        <w:bidi w:val="0"/>
        <w:rPr>
          <w:rFonts w:hint="default" w:ascii="Times New Roman" w:hAnsi="Times New Roman" w:cs="Times New Roman"/>
          <w:lang w:val="en-US" w:eastAsia="zh-CN"/>
        </w:rPr>
      </w:pPr>
      <w:r>
        <w:rPr>
          <w:rFonts w:hint="eastAsia" w:ascii="Times New Roman" w:hAnsi="Times New Roman" w:cs="Times New Roman"/>
          <w:lang w:val="en-US" w:eastAsia="zh-CN"/>
        </w:rPr>
        <w:t>（2）预算执行率</w:t>
      </w:r>
    </w:p>
    <w:p w14:paraId="3836ACF0">
      <w:pPr>
        <w:bidi w:val="0"/>
        <w:rPr>
          <w:rFonts w:hint="default" w:ascii="Times New Roman" w:hAnsi="Times New Roman" w:cs="Times New Roman"/>
          <w:lang w:val="en-US" w:eastAsia="zh-CN"/>
        </w:rPr>
      </w:pPr>
      <w:r>
        <w:rPr>
          <w:rFonts w:hint="eastAsia" w:ascii="Times New Roman" w:hAnsi="Times New Roman" w:cs="Times New Roman"/>
          <w:lang w:val="en-US" w:eastAsia="zh-CN"/>
        </w:rPr>
        <w:t>项目全年预算金额</w:t>
      </w:r>
      <w:r>
        <w:rPr>
          <w:rFonts w:hint="eastAsia" w:cs="Times New Roman"/>
          <w:lang w:val="en-US" w:eastAsia="zh-CN"/>
        </w:rPr>
        <w:t>353.96</w:t>
      </w:r>
      <w:r>
        <w:rPr>
          <w:rFonts w:hint="eastAsia" w:ascii="Times New Roman" w:hAnsi="Times New Roman" w:cs="Times New Roman"/>
          <w:lang w:val="en-US" w:eastAsia="zh-CN"/>
        </w:rPr>
        <w:t>万元，根据国库集中支出凭证可知，截至202</w:t>
      </w:r>
      <w:r>
        <w:rPr>
          <w:rFonts w:hint="eastAsia" w:cs="Times New Roman"/>
          <w:lang w:val="en-US" w:eastAsia="zh-CN"/>
        </w:rPr>
        <w:t>4</w:t>
      </w:r>
      <w:r>
        <w:rPr>
          <w:rFonts w:hint="eastAsia" w:ascii="Times New Roman" w:hAnsi="Times New Roman" w:cs="Times New Roman"/>
          <w:lang w:val="en-US" w:eastAsia="zh-CN"/>
        </w:rPr>
        <w:t>年12月31日，该项目实际支出</w:t>
      </w:r>
      <w:r>
        <w:rPr>
          <w:rFonts w:hint="eastAsia" w:cs="Times New Roman"/>
          <w:lang w:val="en-US" w:eastAsia="zh-CN"/>
        </w:rPr>
        <w:t>353.96</w:t>
      </w:r>
      <w:r>
        <w:rPr>
          <w:rFonts w:hint="eastAsia" w:ascii="Times New Roman" w:hAnsi="Times New Roman" w:cs="Times New Roman"/>
          <w:lang w:val="en-US" w:eastAsia="zh-CN"/>
        </w:rPr>
        <w:t>万元，预算执行率100%。此项分值5分，根据评分标准，本指标评价得5分。</w:t>
      </w:r>
    </w:p>
    <w:p w14:paraId="61B02ED1">
      <w:pPr>
        <w:bidi w:val="0"/>
        <w:rPr>
          <w:rFonts w:hint="default" w:ascii="Times New Roman" w:hAnsi="Times New Roman" w:cs="Times New Roman"/>
          <w:lang w:val="en-US" w:eastAsia="zh-CN"/>
        </w:rPr>
      </w:pPr>
      <w:r>
        <w:rPr>
          <w:rFonts w:hint="eastAsia" w:ascii="Times New Roman" w:hAnsi="Times New Roman" w:cs="Times New Roman"/>
          <w:lang w:val="en-US" w:eastAsia="zh-CN"/>
        </w:rPr>
        <w:t>（3）资金使用合规性</w:t>
      </w:r>
    </w:p>
    <w:p w14:paraId="7C00683E">
      <w:pPr>
        <w:bidi w:val="0"/>
        <w:rPr>
          <w:rFonts w:hint="default" w:ascii="Times New Roman" w:hAnsi="Times New Roman" w:cs="Times New Roman"/>
          <w:lang w:val="en-US" w:eastAsia="zh-CN"/>
        </w:rPr>
      </w:pPr>
      <w:r>
        <w:rPr>
          <w:rFonts w:hint="eastAsia" w:ascii="Times New Roman" w:hAnsi="Times New Roman" w:cs="Times New Roman"/>
          <w:lang w:val="en-US" w:eastAsia="zh-CN"/>
        </w:rPr>
        <w:t>项目实施符合国家财经法规和财务管理制度以及有关专项资金管理办法的规定；资金的拨付有完整的审批程序和手续；资金使用符合项目预算批复或合同规定的用途；资金使用未存在截留、挤占、挪用、虚列支出等情况。此项分值5分，根据评分标准，本指标评价得5分。</w:t>
      </w:r>
    </w:p>
    <w:p w14:paraId="6EF0F3A6">
      <w:pPr>
        <w:ind w:firstLine="602"/>
        <w:rPr>
          <w:rFonts w:hint="eastAsia"/>
          <w:b/>
          <w:bCs/>
          <w:sz w:val="32"/>
          <w:szCs w:val="32"/>
        </w:rPr>
      </w:pPr>
      <w:r>
        <w:rPr>
          <w:rFonts w:hint="eastAsia"/>
          <w:b/>
          <w:bCs/>
          <w:sz w:val="32"/>
          <w:szCs w:val="32"/>
        </w:rPr>
        <w:t>2.组织实施</w:t>
      </w:r>
    </w:p>
    <w:p w14:paraId="264B32B9">
      <w:pPr>
        <w:bidi w:val="0"/>
        <w:rPr>
          <w:rFonts w:hint="default" w:ascii="Times New Roman" w:hAnsi="Times New Roman" w:cs="Times New Roman"/>
          <w:lang w:val="en-US" w:eastAsia="zh-CN"/>
        </w:rPr>
      </w:pPr>
      <w:r>
        <w:rPr>
          <w:rFonts w:hint="eastAsia" w:ascii="Times New Roman" w:hAnsi="Times New Roman" w:cs="Times New Roman"/>
          <w:lang w:val="en-US" w:eastAsia="zh-CN"/>
        </w:rPr>
        <w:t>（1）管理制度健全性</w:t>
      </w:r>
    </w:p>
    <w:p w14:paraId="323D6F0E">
      <w:pPr>
        <w:bidi w:val="0"/>
        <w:rPr>
          <w:rFonts w:hint="default" w:ascii="Times New Roman" w:hAnsi="Times New Roman" w:cs="Times New Roman"/>
          <w:lang w:val="en-US" w:eastAsia="zh-CN"/>
        </w:rPr>
      </w:pPr>
      <w:r>
        <w:rPr>
          <w:rFonts w:hint="eastAsia" w:ascii="Times New Roman" w:hAnsi="Times New Roman" w:cs="Times New Roman"/>
          <w:lang w:val="en-US" w:eastAsia="zh-CN"/>
        </w:rPr>
        <w:t>实施单位具有相应的财务管理制度和业务管理制度，财务管理制度制定的内容合法、合规、完整。此项分值5分，根据评分标准，本指标评价得5分。</w:t>
      </w:r>
    </w:p>
    <w:p w14:paraId="7D41AA7B">
      <w:pPr>
        <w:bidi w:val="0"/>
        <w:rPr>
          <w:rFonts w:hint="default" w:ascii="Times New Roman" w:hAnsi="Times New Roman" w:cs="Times New Roman"/>
          <w:lang w:val="en-US" w:eastAsia="zh-CN"/>
        </w:rPr>
      </w:pPr>
      <w:r>
        <w:rPr>
          <w:rFonts w:hint="eastAsia" w:ascii="Times New Roman" w:hAnsi="Times New Roman" w:cs="Times New Roman"/>
          <w:lang w:val="en-US" w:eastAsia="zh-CN"/>
        </w:rPr>
        <w:t>（2）制度执行有效性</w:t>
      </w:r>
    </w:p>
    <w:p w14:paraId="3D3CB0A3">
      <w:pPr>
        <w:bidi w:val="0"/>
        <w:rPr>
          <w:rFonts w:hint="default" w:ascii="Times New Roman" w:hAnsi="Times New Roman" w:cs="Times New Roman"/>
          <w:lang w:val="en-US" w:eastAsia="zh-CN"/>
        </w:rPr>
      </w:pPr>
      <w:r>
        <w:rPr>
          <w:rFonts w:hint="eastAsia" w:ascii="Times New Roman" w:hAnsi="Times New Roman" w:cs="Times New Roman"/>
          <w:lang w:val="en-US" w:eastAsia="zh-CN"/>
        </w:rPr>
        <w:t>项目资金管理过程中严格按照单位制定的财务管理制度执行，资金拨付手续按照相关程序进行，财务管理制度执行有效；项目调整及支出调整手续完备；项目实施的人员条件、场地设备、信息支撑等落实到位。此项分值5分，根据评分标准，本指标评价得5分。</w:t>
      </w:r>
    </w:p>
    <w:p w14:paraId="2E26B50B">
      <w:pPr>
        <w:widowControl/>
        <w:ind w:firstLine="643"/>
        <w:jc w:val="left"/>
        <w:outlineLvl w:val="1"/>
        <w:rPr>
          <w:rFonts w:eastAsia="楷体" w:cs="楷体"/>
          <w:b/>
          <w:kern w:val="0"/>
          <w:sz w:val="32"/>
          <w:szCs w:val="32"/>
          <w:lang w:bidi="ar"/>
        </w:rPr>
      </w:pPr>
      <w:bookmarkStart w:id="126" w:name="_Toc17470"/>
      <w:bookmarkStart w:id="127" w:name="_Toc57965947"/>
      <w:bookmarkStart w:id="128" w:name="_Toc20396"/>
      <w:bookmarkStart w:id="129" w:name="_Toc61482775"/>
      <w:bookmarkStart w:id="130" w:name="_Toc61482856"/>
      <w:bookmarkStart w:id="131" w:name="_Toc9493301"/>
      <w:bookmarkStart w:id="132" w:name="_Toc61482984"/>
      <w:bookmarkStart w:id="133" w:name="_Toc12726"/>
      <w:bookmarkStart w:id="134" w:name="_Toc29466"/>
      <w:bookmarkStart w:id="135" w:name="_Toc27188"/>
      <w:bookmarkStart w:id="136" w:name="_Toc32336"/>
      <w:bookmarkStart w:id="137" w:name="_Toc13932"/>
      <w:bookmarkStart w:id="138" w:name="_Toc3438"/>
      <w:bookmarkStart w:id="139" w:name="_Toc61482776"/>
      <w:bookmarkStart w:id="140" w:name="_Toc17394"/>
      <w:bookmarkStart w:id="141" w:name="_Toc61482985"/>
      <w:bookmarkStart w:id="142" w:name="_Toc61482857"/>
      <w:r>
        <w:rPr>
          <w:rFonts w:hint="eastAsia" w:eastAsia="楷体" w:cs="楷体"/>
          <w:b/>
          <w:kern w:val="0"/>
          <w:sz w:val="32"/>
          <w:szCs w:val="32"/>
          <w:lang w:bidi="ar"/>
        </w:rPr>
        <w:t>（三）项目产出</w:t>
      </w:r>
      <w:bookmarkEnd w:id="126"/>
      <w:bookmarkEnd w:id="127"/>
      <w:bookmarkEnd w:id="128"/>
      <w:bookmarkEnd w:id="129"/>
      <w:bookmarkEnd w:id="130"/>
      <w:bookmarkEnd w:id="131"/>
      <w:bookmarkEnd w:id="132"/>
      <w:bookmarkEnd w:id="133"/>
      <w:bookmarkEnd w:id="134"/>
      <w:bookmarkEnd w:id="135"/>
      <w:bookmarkEnd w:id="136"/>
      <w:r>
        <w:rPr>
          <w:rFonts w:hint="eastAsia" w:eastAsia="楷体" w:cs="楷体"/>
          <w:b/>
          <w:kern w:val="0"/>
          <w:sz w:val="32"/>
          <w:szCs w:val="32"/>
          <w:lang w:bidi="ar"/>
        </w:rPr>
        <w:t>情况</w:t>
      </w:r>
      <w:bookmarkEnd w:id="137"/>
      <w:bookmarkEnd w:id="138"/>
    </w:p>
    <w:p w14:paraId="6C4E6B6B">
      <w:pPr>
        <w:bidi w:val="0"/>
        <w:rPr>
          <w:rFonts w:hint="eastAsia" w:ascii="Times New Roman" w:hAnsi="Times New Roman" w:cs="Times New Roman"/>
          <w:lang w:val="en-US" w:eastAsia="zh-CN"/>
        </w:rPr>
      </w:pPr>
      <w:r>
        <w:rPr>
          <w:rFonts w:hint="eastAsia" w:ascii="Times New Roman" w:hAnsi="Times New Roman" w:cs="Times New Roman"/>
          <w:lang w:val="en-US" w:eastAsia="zh-CN"/>
        </w:rPr>
        <w:t>项目产出主要从产出数量、产出质量、产出成本、产出时效四方面予以考察。该部分分值30分，评价得分</w:t>
      </w:r>
      <w:r>
        <w:rPr>
          <w:rFonts w:hint="eastAsia" w:cs="Times New Roman"/>
          <w:lang w:val="en-US" w:eastAsia="zh-CN"/>
        </w:rPr>
        <w:t>28</w:t>
      </w:r>
      <w:r>
        <w:rPr>
          <w:rFonts w:hint="eastAsia" w:ascii="Times New Roman" w:hAnsi="Times New Roman" w:cs="Times New Roman"/>
          <w:lang w:val="en-US" w:eastAsia="zh-CN"/>
        </w:rPr>
        <w:t>分，得分率</w:t>
      </w:r>
      <w:r>
        <w:rPr>
          <w:rFonts w:hint="eastAsia" w:cs="Times New Roman"/>
          <w:lang w:val="en-US" w:eastAsia="zh-CN"/>
        </w:rPr>
        <w:t>93.33</w:t>
      </w:r>
      <w:r>
        <w:rPr>
          <w:rFonts w:hint="eastAsia" w:ascii="Times New Roman" w:hAnsi="Times New Roman" w:cs="Times New Roman"/>
          <w:lang w:val="en-US" w:eastAsia="zh-CN"/>
        </w:rPr>
        <w:t>%。具体情况详见表4-3。</w:t>
      </w:r>
    </w:p>
    <w:p w14:paraId="1D7749E3">
      <w:pPr>
        <w:ind w:firstLine="0" w:firstLineChars="0"/>
        <w:jc w:val="center"/>
        <w:rPr>
          <w:rFonts w:ascii="仿宋" w:hAnsi="仿宋" w:eastAsia="仿宋" w:cs="仿宋"/>
          <w:b/>
          <w:bCs/>
          <w:sz w:val="24"/>
        </w:rPr>
      </w:pPr>
      <w:r>
        <w:rPr>
          <w:rFonts w:hint="eastAsia" w:ascii="仿宋" w:hAnsi="仿宋" w:eastAsia="仿宋" w:cs="仿宋"/>
          <w:b/>
          <w:bCs/>
          <w:sz w:val="24"/>
        </w:rPr>
        <w:t>表4-3  项目产出得分表</w:t>
      </w:r>
    </w:p>
    <w:tbl>
      <w:tblPr>
        <w:tblStyle w:val="23"/>
        <w:tblW w:w="87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7"/>
        <w:gridCol w:w="3059"/>
        <w:gridCol w:w="1058"/>
        <w:gridCol w:w="1145"/>
        <w:gridCol w:w="1157"/>
        <w:gridCol w:w="1298"/>
      </w:tblGrid>
      <w:tr w14:paraId="20E4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67" w:type="dxa"/>
            <w:tcBorders>
              <w:top w:val="single" w:color="000000" w:sz="12" w:space="0"/>
              <w:left w:val="nil"/>
              <w:bottom w:val="single" w:color="000000" w:sz="8" w:space="0"/>
              <w:right w:val="single" w:color="000000" w:sz="8" w:space="0"/>
            </w:tcBorders>
            <w:shd w:val="clear" w:color="auto" w:fill="auto"/>
            <w:vAlign w:val="center"/>
          </w:tcPr>
          <w:p w14:paraId="25BE155E">
            <w:pPr>
              <w:keepNext w:val="0"/>
              <w:keepLines w:val="0"/>
              <w:widowControl/>
              <w:suppressLineNumbers w:val="0"/>
              <w:ind w:left="0" w:leftChars="0" w:firstLine="0" w:firstLineChars="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二级指标</w:t>
            </w:r>
          </w:p>
        </w:tc>
        <w:tc>
          <w:tcPr>
            <w:tcW w:w="3059" w:type="dxa"/>
            <w:tcBorders>
              <w:top w:val="single" w:color="000000" w:sz="12" w:space="0"/>
              <w:left w:val="single" w:color="000000" w:sz="8" w:space="0"/>
              <w:bottom w:val="single" w:color="000000" w:sz="8" w:space="0"/>
              <w:right w:val="single" w:color="000000" w:sz="8" w:space="0"/>
            </w:tcBorders>
            <w:shd w:val="clear" w:color="auto" w:fill="auto"/>
            <w:vAlign w:val="center"/>
          </w:tcPr>
          <w:p w14:paraId="1DB08B63">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三级指标</w:t>
            </w:r>
          </w:p>
        </w:tc>
        <w:tc>
          <w:tcPr>
            <w:tcW w:w="1058" w:type="dxa"/>
            <w:tcBorders>
              <w:top w:val="single" w:color="000000" w:sz="12" w:space="0"/>
              <w:left w:val="single" w:color="000000" w:sz="8" w:space="0"/>
              <w:bottom w:val="single" w:color="000000" w:sz="8" w:space="0"/>
              <w:right w:val="single" w:color="000000" w:sz="8" w:space="0"/>
            </w:tcBorders>
            <w:shd w:val="clear" w:color="auto" w:fill="auto"/>
            <w:vAlign w:val="center"/>
          </w:tcPr>
          <w:p w14:paraId="5843A580">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权重</w:t>
            </w:r>
          </w:p>
        </w:tc>
        <w:tc>
          <w:tcPr>
            <w:tcW w:w="1145" w:type="dxa"/>
            <w:tcBorders>
              <w:top w:val="single" w:color="000000" w:sz="12" w:space="0"/>
              <w:left w:val="single" w:color="000000" w:sz="8" w:space="0"/>
              <w:bottom w:val="single" w:color="000000" w:sz="8" w:space="0"/>
              <w:right w:val="single" w:color="000000" w:sz="8" w:space="0"/>
            </w:tcBorders>
            <w:shd w:val="clear" w:color="auto" w:fill="auto"/>
            <w:vAlign w:val="center"/>
          </w:tcPr>
          <w:p w14:paraId="4606CC07">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w:t>
            </w:r>
          </w:p>
        </w:tc>
        <w:tc>
          <w:tcPr>
            <w:tcW w:w="1157" w:type="dxa"/>
            <w:tcBorders>
              <w:top w:val="single" w:color="000000" w:sz="12" w:space="0"/>
              <w:left w:val="single" w:color="000000" w:sz="8" w:space="0"/>
              <w:bottom w:val="single" w:color="000000" w:sz="8" w:space="0"/>
              <w:right w:val="single" w:color="000000" w:sz="8" w:space="0"/>
            </w:tcBorders>
            <w:shd w:val="clear" w:color="auto" w:fill="auto"/>
            <w:vAlign w:val="center"/>
          </w:tcPr>
          <w:p w14:paraId="42FF66C0">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得分率</w:t>
            </w:r>
          </w:p>
        </w:tc>
        <w:tc>
          <w:tcPr>
            <w:tcW w:w="1298" w:type="dxa"/>
            <w:tcBorders>
              <w:top w:val="single" w:color="000000" w:sz="12" w:space="0"/>
              <w:left w:val="single" w:color="000000" w:sz="8" w:space="0"/>
              <w:bottom w:val="single" w:color="000000" w:sz="8" w:space="0"/>
              <w:right w:val="nil"/>
            </w:tcBorders>
            <w:shd w:val="clear" w:color="auto" w:fill="auto"/>
            <w:vAlign w:val="center"/>
          </w:tcPr>
          <w:p w14:paraId="67253687">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扣分要点</w:t>
            </w:r>
          </w:p>
        </w:tc>
      </w:tr>
      <w:tr w14:paraId="73F1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1067" w:type="dxa"/>
            <w:vMerge w:val="restart"/>
            <w:tcBorders>
              <w:top w:val="single" w:color="000000" w:sz="8" w:space="0"/>
              <w:left w:val="nil"/>
              <w:bottom w:val="single" w:color="000000" w:sz="8" w:space="0"/>
              <w:right w:val="single" w:color="000000" w:sz="8" w:space="0"/>
            </w:tcBorders>
            <w:shd w:val="clear" w:color="auto" w:fill="auto"/>
            <w:vAlign w:val="center"/>
          </w:tcPr>
          <w:p w14:paraId="7710276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产出数量</w:t>
            </w:r>
          </w:p>
        </w:tc>
        <w:tc>
          <w:tcPr>
            <w:tcW w:w="30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1D8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办理一审公诉案件完成率</w:t>
            </w:r>
          </w:p>
        </w:tc>
        <w:tc>
          <w:tcPr>
            <w:tcW w:w="10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D02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BF01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A98B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8" w:type="dxa"/>
            <w:tcBorders>
              <w:top w:val="single" w:color="000000" w:sz="8" w:space="0"/>
              <w:left w:val="single" w:color="000000" w:sz="8" w:space="0"/>
              <w:bottom w:val="single" w:color="000000" w:sz="8" w:space="0"/>
              <w:right w:val="nil"/>
            </w:tcBorders>
            <w:shd w:val="clear" w:color="auto" w:fill="auto"/>
            <w:vAlign w:val="center"/>
          </w:tcPr>
          <w:p w14:paraId="16FC3AB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602C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7" w:type="dxa"/>
            <w:vMerge w:val="continue"/>
            <w:tcBorders>
              <w:top w:val="single" w:color="000000" w:sz="8" w:space="0"/>
              <w:left w:val="nil"/>
              <w:bottom w:val="single" w:color="000000" w:sz="8" w:space="0"/>
              <w:right w:val="single" w:color="000000" w:sz="8" w:space="0"/>
            </w:tcBorders>
            <w:shd w:val="clear" w:color="auto" w:fill="auto"/>
            <w:vAlign w:val="center"/>
          </w:tcPr>
          <w:p w14:paraId="61FD6C0B">
            <w:pPr>
              <w:jc w:val="center"/>
              <w:rPr>
                <w:rFonts w:hint="eastAsia" w:ascii="仿宋" w:hAnsi="仿宋" w:eastAsia="仿宋" w:cs="仿宋"/>
                <w:i w:val="0"/>
                <w:iCs w:val="0"/>
                <w:color w:val="000000"/>
                <w:sz w:val="21"/>
                <w:szCs w:val="21"/>
                <w:u w:val="none"/>
              </w:rPr>
            </w:pPr>
          </w:p>
        </w:tc>
        <w:tc>
          <w:tcPr>
            <w:tcW w:w="30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B60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认罪认罚案件完成率</w:t>
            </w:r>
          </w:p>
        </w:tc>
        <w:tc>
          <w:tcPr>
            <w:tcW w:w="10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1E1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52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8AA9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8" w:type="dxa"/>
            <w:tcBorders>
              <w:top w:val="single" w:color="000000" w:sz="8" w:space="0"/>
              <w:left w:val="single" w:color="000000" w:sz="8" w:space="0"/>
              <w:bottom w:val="single" w:color="000000" w:sz="8" w:space="0"/>
              <w:right w:val="nil"/>
            </w:tcBorders>
            <w:shd w:val="clear" w:color="auto" w:fill="auto"/>
            <w:vAlign w:val="center"/>
          </w:tcPr>
          <w:p w14:paraId="4C6ADC99">
            <w:pPr>
              <w:jc w:val="center"/>
              <w:rPr>
                <w:rFonts w:hint="eastAsia" w:ascii="仿宋" w:hAnsi="仿宋" w:eastAsia="仿宋" w:cs="仿宋"/>
                <w:b/>
                <w:bCs/>
                <w:i w:val="0"/>
                <w:iCs w:val="0"/>
                <w:color w:val="000000"/>
                <w:sz w:val="21"/>
                <w:szCs w:val="21"/>
                <w:u w:val="none"/>
              </w:rPr>
            </w:pPr>
          </w:p>
        </w:tc>
      </w:tr>
      <w:tr w14:paraId="0228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7" w:type="dxa"/>
            <w:vMerge w:val="continue"/>
            <w:tcBorders>
              <w:top w:val="single" w:color="000000" w:sz="8" w:space="0"/>
              <w:left w:val="nil"/>
              <w:bottom w:val="single" w:color="000000" w:sz="8" w:space="0"/>
              <w:right w:val="single" w:color="000000" w:sz="8" w:space="0"/>
            </w:tcBorders>
            <w:shd w:val="clear" w:color="auto" w:fill="auto"/>
            <w:vAlign w:val="center"/>
          </w:tcPr>
          <w:p w14:paraId="1555FFDD">
            <w:pPr>
              <w:jc w:val="center"/>
              <w:rPr>
                <w:rFonts w:hint="eastAsia" w:ascii="仿宋" w:hAnsi="仿宋" w:eastAsia="仿宋" w:cs="仿宋"/>
                <w:i w:val="0"/>
                <w:iCs w:val="0"/>
                <w:color w:val="000000"/>
                <w:sz w:val="21"/>
                <w:szCs w:val="21"/>
                <w:u w:val="none"/>
              </w:rPr>
            </w:pPr>
          </w:p>
        </w:tc>
        <w:tc>
          <w:tcPr>
            <w:tcW w:w="30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A6E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委托业务服务完成率</w:t>
            </w:r>
          </w:p>
        </w:tc>
        <w:tc>
          <w:tcPr>
            <w:tcW w:w="10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BF0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C2B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7E905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8" w:type="dxa"/>
            <w:tcBorders>
              <w:top w:val="single" w:color="000000" w:sz="8" w:space="0"/>
              <w:left w:val="single" w:color="000000" w:sz="8" w:space="0"/>
              <w:bottom w:val="single" w:color="000000" w:sz="8" w:space="0"/>
              <w:right w:val="nil"/>
            </w:tcBorders>
            <w:shd w:val="clear" w:color="auto" w:fill="auto"/>
            <w:vAlign w:val="center"/>
          </w:tcPr>
          <w:p w14:paraId="1C7A8C0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2C82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1067" w:type="dxa"/>
            <w:vMerge w:val="continue"/>
            <w:tcBorders>
              <w:top w:val="single" w:color="000000" w:sz="8" w:space="0"/>
              <w:left w:val="nil"/>
              <w:bottom w:val="single" w:color="000000" w:sz="8" w:space="0"/>
              <w:right w:val="single" w:color="000000" w:sz="8" w:space="0"/>
            </w:tcBorders>
            <w:shd w:val="clear" w:color="auto" w:fill="auto"/>
            <w:vAlign w:val="center"/>
          </w:tcPr>
          <w:p w14:paraId="5FEA10A4">
            <w:pPr>
              <w:jc w:val="center"/>
              <w:rPr>
                <w:rFonts w:hint="eastAsia" w:ascii="仿宋" w:hAnsi="仿宋" w:eastAsia="仿宋" w:cs="仿宋"/>
                <w:i w:val="0"/>
                <w:iCs w:val="0"/>
                <w:color w:val="000000"/>
                <w:sz w:val="21"/>
                <w:szCs w:val="21"/>
                <w:u w:val="none"/>
              </w:rPr>
            </w:pPr>
          </w:p>
        </w:tc>
        <w:tc>
          <w:tcPr>
            <w:tcW w:w="30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97F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公务用车维护完成率</w:t>
            </w:r>
          </w:p>
        </w:tc>
        <w:tc>
          <w:tcPr>
            <w:tcW w:w="10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7DCE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7F8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7B81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8" w:type="dxa"/>
            <w:tcBorders>
              <w:top w:val="single" w:color="000000" w:sz="8" w:space="0"/>
              <w:left w:val="single" w:color="000000" w:sz="8" w:space="0"/>
              <w:bottom w:val="single" w:color="000000" w:sz="8" w:space="0"/>
              <w:right w:val="nil"/>
            </w:tcBorders>
            <w:shd w:val="clear" w:color="auto" w:fill="auto"/>
            <w:vAlign w:val="center"/>
          </w:tcPr>
          <w:p w14:paraId="299F220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35C8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1067" w:type="dxa"/>
            <w:vMerge w:val="restart"/>
            <w:tcBorders>
              <w:top w:val="single" w:color="000000" w:sz="8" w:space="0"/>
              <w:left w:val="nil"/>
              <w:bottom w:val="single" w:color="000000" w:sz="8" w:space="0"/>
              <w:right w:val="single" w:color="000000" w:sz="8" w:space="0"/>
            </w:tcBorders>
            <w:shd w:val="clear" w:color="auto" w:fill="auto"/>
            <w:vAlign w:val="center"/>
          </w:tcPr>
          <w:p w14:paraId="76F0BC4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产出质量</w:t>
            </w:r>
          </w:p>
        </w:tc>
        <w:tc>
          <w:tcPr>
            <w:tcW w:w="3059" w:type="dxa"/>
            <w:tcBorders>
              <w:top w:val="single" w:color="000000" w:sz="4" w:space="0"/>
              <w:left w:val="single" w:color="000000" w:sz="4" w:space="0"/>
              <w:bottom w:val="nil"/>
              <w:right w:val="single" w:color="000000" w:sz="4" w:space="0"/>
            </w:tcBorders>
            <w:shd w:val="clear" w:color="auto" w:fill="auto"/>
            <w:vAlign w:val="center"/>
          </w:tcPr>
          <w:p w14:paraId="2068F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认罪认罚适用率</w:t>
            </w:r>
          </w:p>
        </w:tc>
        <w:tc>
          <w:tcPr>
            <w:tcW w:w="10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EB7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AB5B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BAD8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8" w:type="dxa"/>
            <w:tcBorders>
              <w:top w:val="single" w:color="000000" w:sz="8" w:space="0"/>
              <w:left w:val="single" w:color="000000" w:sz="8" w:space="0"/>
              <w:bottom w:val="single" w:color="000000" w:sz="8" w:space="0"/>
              <w:right w:val="nil"/>
            </w:tcBorders>
            <w:shd w:val="clear" w:color="auto" w:fill="auto"/>
            <w:vAlign w:val="center"/>
          </w:tcPr>
          <w:p w14:paraId="5D89AB9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2E63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vMerge w:val="continue"/>
            <w:tcBorders>
              <w:top w:val="single" w:color="000000" w:sz="8" w:space="0"/>
              <w:left w:val="nil"/>
              <w:bottom w:val="single" w:color="000000" w:sz="8" w:space="0"/>
              <w:right w:val="single" w:color="000000" w:sz="8" w:space="0"/>
            </w:tcBorders>
            <w:shd w:val="clear" w:color="auto" w:fill="auto"/>
            <w:vAlign w:val="center"/>
          </w:tcPr>
          <w:p w14:paraId="4062EA9E">
            <w:pPr>
              <w:jc w:val="center"/>
              <w:rPr>
                <w:rFonts w:hint="eastAsia" w:ascii="仿宋" w:hAnsi="仿宋" w:eastAsia="仿宋" w:cs="仿宋"/>
                <w:i w:val="0"/>
                <w:iCs w:val="0"/>
                <w:color w:val="000000"/>
                <w:sz w:val="21"/>
                <w:szCs w:val="21"/>
                <w:u w:val="none"/>
              </w:rPr>
            </w:pPr>
          </w:p>
        </w:tc>
        <w:tc>
          <w:tcPr>
            <w:tcW w:w="3059" w:type="dxa"/>
            <w:tcBorders>
              <w:top w:val="single" w:color="000000" w:sz="4" w:space="0"/>
              <w:left w:val="single" w:color="000000" w:sz="4" w:space="0"/>
              <w:bottom w:val="nil"/>
              <w:right w:val="single" w:color="000000" w:sz="4" w:space="0"/>
            </w:tcBorders>
            <w:shd w:val="clear" w:color="auto" w:fill="auto"/>
            <w:vAlign w:val="center"/>
          </w:tcPr>
          <w:p w14:paraId="7A806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公车维护合格率</w:t>
            </w:r>
          </w:p>
        </w:tc>
        <w:tc>
          <w:tcPr>
            <w:tcW w:w="10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634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7EB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6004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8" w:type="dxa"/>
            <w:tcBorders>
              <w:top w:val="single" w:color="000000" w:sz="8" w:space="0"/>
              <w:left w:val="single" w:color="000000" w:sz="8" w:space="0"/>
              <w:bottom w:val="single" w:color="000000" w:sz="8" w:space="0"/>
              <w:right w:val="nil"/>
            </w:tcBorders>
            <w:shd w:val="clear" w:color="auto" w:fill="auto"/>
            <w:vAlign w:val="center"/>
          </w:tcPr>
          <w:p w14:paraId="1CFB413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67D8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67" w:type="dxa"/>
            <w:vMerge w:val="continue"/>
            <w:tcBorders>
              <w:top w:val="single" w:color="000000" w:sz="8" w:space="0"/>
              <w:left w:val="nil"/>
              <w:bottom w:val="single" w:color="000000" w:sz="8" w:space="0"/>
              <w:right w:val="single" w:color="000000" w:sz="8" w:space="0"/>
            </w:tcBorders>
            <w:shd w:val="clear" w:color="auto" w:fill="auto"/>
            <w:vAlign w:val="center"/>
          </w:tcPr>
          <w:p w14:paraId="1FAB8288">
            <w:pPr>
              <w:jc w:val="center"/>
              <w:rPr>
                <w:rFonts w:hint="eastAsia" w:ascii="仿宋" w:hAnsi="仿宋" w:eastAsia="仿宋" w:cs="仿宋"/>
                <w:i w:val="0"/>
                <w:iCs w:val="0"/>
                <w:color w:val="000000"/>
                <w:sz w:val="21"/>
                <w:szCs w:val="21"/>
                <w:u w:val="none"/>
              </w:rPr>
            </w:pPr>
          </w:p>
        </w:tc>
        <w:tc>
          <w:tcPr>
            <w:tcW w:w="3059" w:type="dxa"/>
            <w:tcBorders>
              <w:top w:val="single" w:color="000000" w:sz="4" w:space="0"/>
              <w:left w:val="single" w:color="000000" w:sz="4" w:space="0"/>
              <w:bottom w:val="nil"/>
              <w:right w:val="single" w:color="000000" w:sz="4" w:space="0"/>
            </w:tcBorders>
            <w:shd w:val="clear" w:color="auto" w:fill="auto"/>
            <w:vAlign w:val="center"/>
          </w:tcPr>
          <w:p w14:paraId="38488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刑事检察审查起诉案件结案率</w:t>
            </w:r>
          </w:p>
        </w:tc>
        <w:tc>
          <w:tcPr>
            <w:tcW w:w="10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549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61A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49FB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8" w:type="dxa"/>
            <w:tcBorders>
              <w:top w:val="single" w:color="000000" w:sz="8" w:space="0"/>
              <w:left w:val="single" w:color="000000" w:sz="8" w:space="0"/>
              <w:bottom w:val="single" w:color="000000" w:sz="8" w:space="0"/>
              <w:right w:val="nil"/>
            </w:tcBorders>
            <w:shd w:val="clear" w:color="auto" w:fill="auto"/>
            <w:vAlign w:val="center"/>
          </w:tcPr>
          <w:p w14:paraId="68C0893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4229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trPr>
        <w:tc>
          <w:tcPr>
            <w:tcW w:w="1067" w:type="dxa"/>
            <w:vMerge w:val="continue"/>
            <w:tcBorders>
              <w:top w:val="single" w:color="000000" w:sz="8" w:space="0"/>
              <w:left w:val="nil"/>
              <w:bottom w:val="single" w:color="000000" w:sz="8" w:space="0"/>
              <w:right w:val="single" w:color="000000" w:sz="8" w:space="0"/>
            </w:tcBorders>
            <w:shd w:val="clear" w:color="auto" w:fill="auto"/>
            <w:vAlign w:val="center"/>
          </w:tcPr>
          <w:p w14:paraId="04038C6D">
            <w:pPr>
              <w:jc w:val="center"/>
              <w:rPr>
                <w:rFonts w:hint="eastAsia" w:ascii="仿宋" w:hAnsi="仿宋" w:eastAsia="仿宋" w:cs="仿宋"/>
                <w:i w:val="0"/>
                <w:iCs w:val="0"/>
                <w:color w:val="000000"/>
                <w:sz w:val="21"/>
                <w:szCs w:val="21"/>
                <w:u w:val="none"/>
              </w:rPr>
            </w:pPr>
          </w:p>
        </w:tc>
        <w:tc>
          <w:tcPr>
            <w:tcW w:w="3059" w:type="dxa"/>
            <w:tcBorders>
              <w:top w:val="single" w:color="000000" w:sz="4" w:space="0"/>
              <w:left w:val="single" w:color="000000" w:sz="4" w:space="0"/>
              <w:bottom w:val="nil"/>
              <w:right w:val="single" w:color="000000" w:sz="4" w:space="0"/>
            </w:tcBorders>
            <w:shd w:val="clear" w:color="auto" w:fill="auto"/>
            <w:vAlign w:val="center"/>
          </w:tcPr>
          <w:p w14:paraId="7E3DE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委托服务达标率</w:t>
            </w:r>
          </w:p>
        </w:tc>
        <w:tc>
          <w:tcPr>
            <w:tcW w:w="10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EF0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760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006F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8" w:type="dxa"/>
            <w:tcBorders>
              <w:top w:val="single" w:color="000000" w:sz="8" w:space="0"/>
              <w:left w:val="single" w:color="000000" w:sz="8" w:space="0"/>
              <w:bottom w:val="single" w:color="000000" w:sz="8" w:space="0"/>
              <w:right w:val="nil"/>
            </w:tcBorders>
            <w:shd w:val="clear" w:color="auto" w:fill="auto"/>
            <w:vAlign w:val="center"/>
          </w:tcPr>
          <w:p w14:paraId="7198141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64EE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067" w:type="dxa"/>
            <w:vMerge w:val="restart"/>
            <w:tcBorders>
              <w:top w:val="single" w:color="000000" w:sz="8" w:space="0"/>
              <w:left w:val="nil"/>
              <w:bottom w:val="single" w:color="000000" w:sz="8" w:space="0"/>
              <w:right w:val="single" w:color="000000" w:sz="8" w:space="0"/>
            </w:tcBorders>
            <w:shd w:val="clear" w:color="auto" w:fill="auto"/>
            <w:vAlign w:val="center"/>
          </w:tcPr>
          <w:p w14:paraId="602B6D4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产出时效</w:t>
            </w:r>
          </w:p>
        </w:tc>
        <w:tc>
          <w:tcPr>
            <w:tcW w:w="3059" w:type="dxa"/>
            <w:tcBorders>
              <w:top w:val="single" w:color="000000" w:sz="4" w:space="0"/>
              <w:left w:val="single" w:color="000000" w:sz="4" w:space="0"/>
              <w:bottom w:val="nil"/>
              <w:right w:val="single" w:color="000000" w:sz="4" w:space="0"/>
            </w:tcBorders>
            <w:shd w:val="clear" w:color="auto" w:fill="auto"/>
            <w:vAlign w:val="center"/>
          </w:tcPr>
          <w:p w14:paraId="71AC2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受理刑事检察案件及时率</w:t>
            </w:r>
          </w:p>
        </w:tc>
        <w:tc>
          <w:tcPr>
            <w:tcW w:w="10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6F1E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245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3F3B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8" w:type="dxa"/>
            <w:tcBorders>
              <w:top w:val="single" w:color="000000" w:sz="8" w:space="0"/>
              <w:left w:val="single" w:color="000000" w:sz="8" w:space="0"/>
              <w:bottom w:val="single" w:color="000000" w:sz="8" w:space="0"/>
              <w:right w:val="nil"/>
            </w:tcBorders>
            <w:shd w:val="clear" w:color="auto" w:fill="auto"/>
            <w:vAlign w:val="center"/>
          </w:tcPr>
          <w:p w14:paraId="699F52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383C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067" w:type="dxa"/>
            <w:vMerge w:val="continue"/>
            <w:tcBorders>
              <w:top w:val="single" w:color="000000" w:sz="8" w:space="0"/>
              <w:left w:val="nil"/>
              <w:bottom w:val="single" w:color="000000" w:sz="8" w:space="0"/>
              <w:right w:val="single" w:color="000000" w:sz="8" w:space="0"/>
            </w:tcBorders>
            <w:shd w:val="clear" w:color="auto" w:fill="auto"/>
            <w:vAlign w:val="center"/>
          </w:tcPr>
          <w:p w14:paraId="29AA0394">
            <w:pPr>
              <w:jc w:val="center"/>
              <w:rPr>
                <w:rFonts w:hint="eastAsia" w:ascii="仿宋" w:hAnsi="仿宋" w:eastAsia="仿宋" w:cs="仿宋"/>
                <w:i w:val="0"/>
                <w:iCs w:val="0"/>
                <w:color w:val="000000"/>
                <w:sz w:val="21"/>
                <w:szCs w:val="21"/>
                <w:u w:val="none"/>
              </w:rPr>
            </w:pPr>
          </w:p>
        </w:tc>
        <w:tc>
          <w:tcPr>
            <w:tcW w:w="3059" w:type="dxa"/>
            <w:tcBorders>
              <w:top w:val="single" w:color="000000" w:sz="4" w:space="0"/>
              <w:left w:val="single" w:color="000000" w:sz="4" w:space="0"/>
              <w:bottom w:val="nil"/>
              <w:right w:val="single" w:color="000000" w:sz="4" w:space="0"/>
            </w:tcBorders>
            <w:shd w:val="clear" w:color="auto" w:fill="auto"/>
            <w:vAlign w:val="center"/>
          </w:tcPr>
          <w:p w14:paraId="31F4D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资金支付及时率</w:t>
            </w:r>
          </w:p>
        </w:tc>
        <w:tc>
          <w:tcPr>
            <w:tcW w:w="10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C8B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041A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61DA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8" w:type="dxa"/>
            <w:tcBorders>
              <w:top w:val="single" w:color="000000" w:sz="8" w:space="0"/>
              <w:left w:val="single" w:color="000000" w:sz="8" w:space="0"/>
              <w:bottom w:val="single" w:color="000000" w:sz="8" w:space="0"/>
              <w:right w:val="nil"/>
            </w:tcBorders>
            <w:shd w:val="clear" w:color="auto" w:fill="auto"/>
            <w:vAlign w:val="center"/>
          </w:tcPr>
          <w:p w14:paraId="58F6F2A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191A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7" w:type="dxa"/>
            <w:vMerge w:val="restart"/>
            <w:tcBorders>
              <w:top w:val="single" w:color="000000" w:sz="8" w:space="0"/>
              <w:left w:val="nil"/>
              <w:bottom w:val="nil"/>
              <w:right w:val="single" w:color="000000" w:sz="8" w:space="0"/>
            </w:tcBorders>
            <w:shd w:val="clear" w:color="auto" w:fill="auto"/>
            <w:vAlign w:val="center"/>
          </w:tcPr>
          <w:p w14:paraId="0F1BD73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产出成本</w:t>
            </w:r>
          </w:p>
        </w:tc>
        <w:tc>
          <w:tcPr>
            <w:tcW w:w="3059" w:type="dxa"/>
            <w:tcBorders>
              <w:top w:val="single" w:color="000000" w:sz="4" w:space="0"/>
              <w:left w:val="single" w:color="000000" w:sz="4" w:space="0"/>
              <w:bottom w:val="nil"/>
              <w:right w:val="single" w:color="000000" w:sz="4" w:space="0"/>
            </w:tcBorders>
            <w:shd w:val="clear" w:color="auto" w:fill="auto"/>
            <w:vAlign w:val="center"/>
          </w:tcPr>
          <w:p w14:paraId="62091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10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AE6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6553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9BDD9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8" w:type="dxa"/>
            <w:tcBorders>
              <w:top w:val="single" w:color="000000" w:sz="8" w:space="0"/>
              <w:left w:val="single" w:color="000000" w:sz="8" w:space="0"/>
              <w:bottom w:val="single" w:color="000000" w:sz="8" w:space="0"/>
              <w:right w:val="nil"/>
            </w:tcBorders>
            <w:shd w:val="clear" w:color="auto" w:fill="auto"/>
            <w:vAlign w:val="center"/>
          </w:tcPr>
          <w:p w14:paraId="6DC01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4780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067" w:type="dxa"/>
            <w:vMerge w:val="continue"/>
            <w:tcBorders>
              <w:top w:val="single" w:color="000000" w:sz="8" w:space="0"/>
              <w:left w:val="nil"/>
              <w:bottom w:val="nil"/>
              <w:right w:val="single" w:color="000000" w:sz="8" w:space="0"/>
            </w:tcBorders>
            <w:shd w:val="clear" w:color="auto" w:fill="auto"/>
            <w:vAlign w:val="center"/>
          </w:tcPr>
          <w:p w14:paraId="7023B07B">
            <w:pPr>
              <w:jc w:val="center"/>
              <w:rPr>
                <w:rFonts w:hint="eastAsia" w:ascii="仿宋" w:hAnsi="仿宋" w:eastAsia="仿宋" w:cs="仿宋"/>
                <w:i w:val="0"/>
                <w:iCs w:val="0"/>
                <w:color w:val="000000"/>
                <w:sz w:val="21"/>
                <w:szCs w:val="21"/>
                <w:u w:val="none"/>
              </w:rPr>
            </w:pPr>
          </w:p>
        </w:tc>
        <w:tc>
          <w:tcPr>
            <w:tcW w:w="3059" w:type="dxa"/>
            <w:tcBorders>
              <w:top w:val="single" w:color="000000" w:sz="4" w:space="0"/>
              <w:left w:val="single" w:color="000000" w:sz="4" w:space="0"/>
              <w:bottom w:val="nil"/>
              <w:right w:val="single" w:color="000000" w:sz="4" w:space="0"/>
            </w:tcBorders>
            <w:shd w:val="clear" w:color="auto" w:fill="auto"/>
            <w:vAlign w:val="center"/>
          </w:tcPr>
          <w:p w14:paraId="3F298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委托物业服务</w:t>
            </w:r>
          </w:p>
        </w:tc>
        <w:tc>
          <w:tcPr>
            <w:tcW w:w="10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C89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45" w:type="dxa"/>
            <w:tcBorders>
              <w:top w:val="single" w:color="000000" w:sz="8" w:space="0"/>
              <w:left w:val="single" w:color="000000" w:sz="8" w:space="0"/>
              <w:bottom w:val="nil"/>
              <w:right w:val="single" w:color="000000" w:sz="8" w:space="0"/>
            </w:tcBorders>
            <w:shd w:val="clear" w:color="auto" w:fill="auto"/>
            <w:vAlign w:val="center"/>
          </w:tcPr>
          <w:p w14:paraId="0A7D99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BEEE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8" w:type="dxa"/>
            <w:tcBorders>
              <w:top w:val="single" w:color="000000" w:sz="8" w:space="0"/>
              <w:left w:val="single" w:color="000000" w:sz="8" w:space="0"/>
              <w:bottom w:val="nil"/>
              <w:right w:val="nil"/>
            </w:tcBorders>
            <w:shd w:val="clear" w:color="auto" w:fill="auto"/>
            <w:vAlign w:val="center"/>
          </w:tcPr>
          <w:p w14:paraId="7736BA3B">
            <w:pPr>
              <w:jc w:val="center"/>
              <w:rPr>
                <w:rFonts w:hint="eastAsia" w:ascii="仿宋" w:hAnsi="仿宋" w:eastAsia="仿宋" w:cs="仿宋"/>
                <w:i w:val="0"/>
                <w:iCs w:val="0"/>
                <w:color w:val="000000"/>
                <w:sz w:val="21"/>
                <w:szCs w:val="21"/>
                <w:u w:val="none"/>
              </w:rPr>
            </w:pPr>
          </w:p>
        </w:tc>
      </w:tr>
      <w:tr w14:paraId="1A77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vMerge w:val="continue"/>
            <w:tcBorders>
              <w:top w:val="single" w:color="000000" w:sz="8" w:space="0"/>
              <w:left w:val="nil"/>
              <w:bottom w:val="nil"/>
              <w:right w:val="single" w:color="000000" w:sz="8" w:space="0"/>
            </w:tcBorders>
            <w:shd w:val="clear" w:color="auto" w:fill="auto"/>
            <w:vAlign w:val="center"/>
          </w:tcPr>
          <w:p w14:paraId="531FF703">
            <w:pPr>
              <w:jc w:val="center"/>
              <w:rPr>
                <w:rFonts w:hint="eastAsia" w:ascii="仿宋" w:hAnsi="仿宋" w:eastAsia="仿宋" w:cs="仿宋"/>
                <w:i w:val="0"/>
                <w:iCs w:val="0"/>
                <w:color w:val="000000"/>
                <w:sz w:val="21"/>
                <w:szCs w:val="21"/>
                <w:u w:val="none"/>
              </w:rPr>
            </w:pPr>
          </w:p>
        </w:tc>
        <w:tc>
          <w:tcPr>
            <w:tcW w:w="3059" w:type="dxa"/>
            <w:tcBorders>
              <w:top w:val="single" w:color="000000" w:sz="4" w:space="0"/>
              <w:left w:val="single" w:color="000000" w:sz="4" w:space="0"/>
              <w:bottom w:val="nil"/>
              <w:right w:val="single" w:color="000000" w:sz="4" w:space="0"/>
            </w:tcBorders>
            <w:shd w:val="clear" w:color="auto" w:fill="auto"/>
            <w:vAlign w:val="center"/>
          </w:tcPr>
          <w:p w14:paraId="3B30D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项目总成本</w:t>
            </w:r>
          </w:p>
        </w:tc>
        <w:tc>
          <w:tcPr>
            <w:tcW w:w="1058" w:type="dxa"/>
            <w:tcBorders>
              <w:top w:val="single" w:color="000000" w:sz="8" w:space="0"/>
              <w:left w:val="single" w:color="000000" w:sz="8" w:space="0"/>
              <w:bottom w:val="nil"/>
              <w:right w:val="single" w:color="000000" w:sz="8" w:space="0"/>
            </w:tcBorders>
            <w:shd w:val="clear" w:color="auto" w:fill="auto"/>
            <w:vAlign w:val="center"/>
          </w:tcPr>
          <w:p w14:paraId="5D2D0D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45" w:type="dxa"/>
            <w:tcBorders>
              <w:top w:val="single" w:color="000000" w:sz="8" w:space="0"/>
              <w:left w:val="single" w:color="000000" w:sz="8" w:space="0"/>
              <w:bottom w:val="nil"/>
              <w:right w:val="single" w:color="000000" w:sz="8" w:space="0"/>
            </w:tcBorders>
            <w:shd w:val="clear" w:color="auto" w:fill="auto"/>
            <w:vAlign w:val="center"/>
          </w:tcPr>
          <w:p w14:paraId="080F8B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04EEB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1298" w:type="dxa"/>
            <w:tcBorders>
              <w:top w:val="single" w:color="000000" w:sz="8" w:space="0"/>
              <w:left w:val="single" w:color="000000" w:sz="8" w:space="0"/>
              <w:bottom w:val="nil"/>
              <w:right w:val="nil"/>
            </w:tcBorders>
            <w:shd w:val="clear" w:color="auto" w:fill="auto"/>
            <w:vAlign w:val="center"/>
          </w:tcPr>
          <w:p w14:paraId="6E727D48">
            <w:pPr>
              <w:jc w:val="center"/>
              <w:rPr>
                <w:rFonts w:hint="eastAsia" w:ascii="仿宋" w:hAnsi="仿宋" w:eastAsia="仿宋" w:cs="仿宋"/>
                <w:i w:val="0"/>
                <w:iCs w:val="0"/>
                <w:color w:val="000000"/>
                <w:sz w:val="21"/>
                <w:szCs w:val="21"/>
                <w:u w:val="none"/>
              </w:rPr>
            </w:pPr>
          </w:p>
        </w:tc>
      </w:tr>
      <w:tr w14:paraId="13091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126" w:type="dxa"/>
            <w:gridSpan w:val="2"/>
            <w:tcBorders>
              <w:top w:val="single" w:color="000000" w:sz="8" w:space="0"/>
              <w:left w:val="nil"/>
              <w:bottom w:val="single" w:color="000000" w:sz="12" w:space="0"/>
              <w:right w:val="single" w:color="000000" w:sz="8" w:space="0"/>
            </w:tcBorders>
            <w:shd w:val="clear" w:color="auto" w:fill="auto"/>
            <w:vAlign w:val="center"/>
          </w:tcPr>
          <w:p w14:paraId="031089F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产出指标得分合计</w:t>
            </w:r>
          </w:p>
        </w:tc>
        <w:tc>
          <w:tcPr>
            <w:tcW w:w="1058"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5938400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30</w:t>
            </w:r>
          </w:p>
        </w:tc>
        <w:tc>
          <w:tcPr>
            <w:tcW w:w="1145"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17745A1B">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28</w:t>
            </w:r>
          </w:p>
        </w:tc>
        <w:tc>
          <w:tcPr>
            <w:tcW w:w="1157"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307BC4F7">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93.33%</w:t>
            </w:r>
          </w:p>
        </w:tc>
        <w:tc>
          <w:tcPr>
            <w:tcW w:w="1298" w:type="dxa"/>
            <w:tcBorders>
              <w:top w:val="single" w:color="000000" w:sz="8" w:space="0"/>
              <w:left w:val="single" w:color="000000" w:sz="8" w:space="0"/>
              <w:bottom w:val="single" w:color="000000" w:sz="12" w:space="0"/>
              <w:right w:val="nil"/>
            </w:tcBorders>
            <w:shd w:val="clear" w:color="auto" w:fill="auto"/>
            <w:vAlign w:val="center"/>
          </w:tcPr>
          <w:p w14:paraId="5C4EC69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bl>
    <w:p w14:paraId="5F3E2D05">
      <w:pPr>
        <w:keepNext w:val="0"/>
        <w:keepLines w:val="0"/>
        <w:pageBreakBefore w:val="0"/>
        <w:widowControl w:val="0"/>
        <w:kinsoku/>
        <w:wordWrap/>
        <w:overflowPunct/>
        <w:topLinePunct w:val="0"/>
        <w:autoSpaceDE/>
        <w:autoSpaceDN/>
        <w:bidi w:val="0"/>
        <w:adjustRightInd w:val="0"/>
        <w:snapToGrid w:val="0"/>
        <w:spacing w:line="240" w:lineRule="auto"/>
        <w:ind w:firstLine="602"/>
        <w:textAlignment w:val="auto"/>
        <w:rPr>
          <w:rFonts w:hint="eastAsia"/>
          <w:b/>
          <w:bCs/>
        </w:rPr>
      </w:pPr>
    </w:p>
    <w:p w14:paraId="0B0ABE96">
      <w:pPr>
        <w:ind w:firstLine="602"/>
        <w:rPr>
          <w:rFonts w:hint="eastAsia"/>
          <w:b/>
          <w:bCs/>
          <w:sz w:val="32"/>
          <w:szCs w:val="32"/>
        </w:rPr>
      </w:pPr>
      <w:r>
        <w:rPr>
          <w:rFonts w:hint="eastAsia"/>
          <w:b/>
          <w:bCs/>
          <w:sz w:val="32"/>
          <w:szCs w:val="32"/>
        </w:rPr>
        <w:t>1.产出数量</w:t>
      </w:r>
    </w:p>
    <w:p w14:paraId="1DAAFDF5">
      <w:pPr>
        <w:bidi w:val="0"/>
        <w:rPr>
          <w:rFonts w:hint="eastAsia" w:ascii="Times New Roman" w:hAnsi="Times New Roman" w:cs="Times New Roman"/>
          <w:lang w:val="en-US" w:eastAsia="zh-CN"/>
        </w:rPr>
      </w:pPr>
      <w:bookmarkStart w:id="143" w:name="_Hlk79421179"/>
      <w:r>
        <w:rPr>
          <w:rFonts w:hint="eastAsia" w:ascii="Times New Roman" w:hAnsi="Times New Roman" w:cs="Times New Roman"/>
          <w:lang w:val="en-US" w:eastAsia="zh-CN"/>
        </w:rPr>
        <w:t>（1）办理一审公诉案件完成率</w:t>
      </w:r>
    </w:p>
    <w:p w14:paraId="09EC4D72">
      <w:pPr>
        <w:bidi w:val="0"/>
        <w:rPr>
          <w:rFonts w:hint="eastAsia" w:ascii="Times New Roman" w:hAnsi="Times New Roman" w:cs="Times New Roman"/>
          <w:lang w:val="en-US" w:eastAsia="zh-CN"/>
        </w:rPr>
      </w:pPr>
      <w:r>
        <w:rPr>
          <w:rFonts w:hint="eastAsia" w:ascii="Times New Roman" w:hAnsi="Times New Roman" w:cs="Times New Roman"/>
          <w:lang w:val="en-US" w:eastAsia="zh-CN"/>
        </w:rPr>
        <w:t>一审公诉案件是指刑事案件在第一次审理时，由检察院代表国家向法院提起公诉的案件。年初计划办理一审公诉案件</w:t>
      </w:r>
      <w:r>
        <w:rPr>
          <w:rFonts w:hint="eastAsia" w:cs="Times New Roman"/>
          <w:lang w:val="en-US" w:eastAsia="zh-CN"/>
        </w:rPr>
        <w:t>200</w:t>
      </w:r>
      <w:r>
        <w:rPr>
          <w:rFonts w:hint="eastAsia" w:ascii="Times New Roman" w:hAnsi="Times New Roman" w:cs="Times New Roman"/>
          <w:lang w:val="en-US" w:eastAsia="zh-CN"/>
        </w:rPr>
        <w:t>件，实际在年度内完成</w:t>
      </w:r>
      <w:r>
        <w:rPr>
          <w:rFonts w:hint="eastAsia" w:cs="Times New Roman"/>
          <w:lang w:val="en-US" w:eastAsia="zh-CN"/>
        </w:rPr>
        <w:t>234</w:t>
      </w:r>
      <w:r>
        <w:rPr>
          <w:rFonts w:hint="eastAsia" w:ascii="Times New Roman" w:hAnsi="Times New Roman" w:cs="Times New Roman"/>
          <w:lang w:val="en-US" w:eastAsia="zh-CN"/>
        </w:rPr>
        <w:t>件，根据得分细则得</w:t>
      </w:r>
      <w:r>
        <w:rPr>
          <w:rFonts w:hint="eastAsia" w:cs="Times New Roman"/>
          <w:lang w:val="en-US" w:eastAsia="zh-CN"/>
        </w:rPr>
        <w:t>3</w:t>
      </w:r>
      <w:r>
        <w:rPr>
          <w:rFonts w:hint="eastAsia" w:ascii="Times New Roman" w:hAnsi="Times New Roman" w:cs="Times New Roman"/>
          <w:lang w:val="en-US" w:eastAsia="zh-CN"/>
        </w:rPr>
        <w:t>分。</w:t>
      </w:r>
    </w:p>
    <w:p w14:paraId="6E316728">
      <w:pPr>
        <w:bidi w:val="0"/>
        <w:rPr>
          <w:rFonts w:hint="eastAsia" w:ascii="Times New Roman" w:hAnsi="Times New Roman" w:cs="Times New Roman"/>
          <w:lang w:val="en-US" w:eastAsia="zh-CN"/>
        </w:rPr>
      </w:pPr>
      <w:r>
        <w:rPr>
          <w:rFonts w:hint="eastAsia" w:ascii="Times New Roman" w:hAnsi="Times New Roman" w:cs="Times New Roman"/>
          <w:lang w:val="en-US" w:eastAsia="zh-CN"/>
        </w:rPr>
        <w:t>（2）认罪认罚案件完成率</w:t>
      </w:r>
    </w:p>
    <w:p w14:paraId="1BD25EAC">
      <w:pPr>
        <w:bidi w:val="0"/>
        <w:rPr>
          <w:rFonts w:hint="eastAsia" w:ascii="Times New Roman" w:hAnsi="Times New Roman" w:cs="Times New Roman"/>
          <w:lang w:val="en-US" w:eastAsia="zh-CN"/>
        </w:rPr>
      </w:pPr>
      <w:r>
        <w:rPr>
          <w:rFonts w:hint="eastAsia" w:ascii="Times New Roman" w:hAnsi="Times New Roman" w:cs="Times New Roman"/>
          <w:lang w:val="en-US" w:eastAsia="zh-CN"/>
        </w:rPr>
        <w:t>认罪认罚案件是</w:t>
      </w:r>
      <w:r>
        <w:rPr>
          <w:rFonts w:hint="eastAsia" w:cs="Times New Roman"/>
          <w:lang w:val="en-US" w:eastAsia="zh-CN"/>
        </w:rPr>
        <w:t>指</w:t>
      </w:r>
      <w:r>
        <w:rPr>
          <w:rFonts w:hint="eastAsia" w:ascii="Times New Roman" w:hAnsi="Times New Roman" w:cs="Times New Roman"/>
          <w:lang w:val="en-US" w:eastAsia="zh-CN"/>
        </w:rPr>
        <w:t>犯罪嫌疑人或被告人不仅承认了自己的犯罪行为，还对指控的犯罪事实没有异议，并同意检察机关的量刑建议。年初计划办理认罪认罚案件数量在</w:t>
      </w:r>
      <w:r>
        <w:rPr>
          <w:rFonts w:hint="eastAsia" w:cs="Times New Roman"/>
          <w:lang w:val="en-US" w:eastAsia="zh-CN"/>
        </w:rPr>
        <w:t>50</w:t>
      </w:r>
      <w:r>
        <w:rPr>
          <w:rFonts w:hint="eastAsia" w:ascii="Times New Roman" w:hAnsi="Times New Roman" w:cs="Times New Roman"/>
          <w:lang w:val="en-US" w:eastAsia="zh-CN"/>
        </w:rPr>
        <w:t>件以上，202</w:t>
      </w:r>
      <w:r>
        <w:rPr>
          <w:rFonts w:hint="eastAsia" w:cs="Times New Roman"/>
          <w:lang w:val="en-US" w:eastAsia="zh-CN"/>
        </w:rPr>
        <w:t>4</w:t>
      </w:r>
      <w:r>
        <w:rPr>
          <w:rFonts w:hint="eastAsia" w:ascii="Times New Roman" w:hAnsi="Times New Roman" w:cs="Times New Roman"/>
          <w:lang w:val="en-US" w:eastAsia="zh-CN"/>
        </w:rPr>
        <w:t>年实际刑事检察审查起诉案件数为</w:t>
      </w:r>
      <w:r>
        <w:rPr>
          <w:rFonts w:hint="eastAsia" w:cs="Times New Roman"/>
          <w:lang w:val="en-US" w:eastAsia="zh-CN"/>
        </w:rPr>
        <w:t>262</w:t>
      </w:r>
      <w:r>
        <w:rPr>
          <w:rFonts w:hint="eastAsia" w:ascii="Times New Roman" w:hAnsi="Times New Roman" w:cs="Times New Roman"/>
          <w:lang w:val="en-US" w:eastAsia="zh-CN"/>
        </w:rPr>
        <w:t>件，根据得分细则得</w:t>
      </w:r>
      <w:r>
        <w:rPr>
          <w:rFonts w:hint="eastAsia" w:cs="Times New Roman"/>
          <w:lang w:val="en-US" w:eastAsia="zh-CN"/>
        </w:rPr>
        <w:t>3</w:t>
      </w:r>
      <w:r>
        <w:rPr>
          <w:rFonts w:hint="eastAsia" w:ascii="Times New Roman" w:hAnsi="Times New Roman" w:cs="Times New Roman"/>
          <w:lang w:val="en-US" w:eastAsia="zh-CN"/>
        </w:rPr>
        <w:t>分。</w:t>
      </w:r>
    </w:p>
    <w:p w14:paraId="3823C16A">
      <w:pPr>
        <w:bidi w:val="0"/>
        <w:rPr>
          <w:rFonts w:hint="eastAsia" w:ascii="Times New Roman" w:hAnsi="Times New Roman" w:cs="Times New Roman"/>
          <w:lang w:val="en-US" w:eastAsia="zh-CN"/>
        </w:rPr>
      </w:pPr>
      <w:r>
        <w:rPr>
          <w:rFonts w:hint="eastAsia" w:ascii="Times New Roman" w:hAnsi="Times New Roman" w:cs="Times New Roman"/>
          <w:lang w:val="en-US" w:eastAsia="zh-CN"/>
        </w:rPr>
        <w:t>（3）委托</w:t>
      </w:r>
      <w:r>
        <w:rPr>
          <w:rFonts w:hint="eastAsia" w:cs="Times New Roman"/>
          <w:lang w:val="en-US" w:eastAsia="zh-CN"/>
        </w:rPr>
        <w:t>业务</w:t>
      </w:r>
      <w:r>
        <w:rPr>
          <w:rFonts w:hint="eastAsia" w:ascii="Times New Roman" w:hAnsi="Times New Roman" w:cs="Times New Roman"/>
          <w:lang w:val="en-US" w:eastAsia="zh-CN"/>
        </w:rPr>
        <w:t>服务完成率</w:t>
      </w:r>
    </w:p>
    <w:p w14:paraId="694B04DB">
      <w:pPr>
        <w:bidi w:val="0"/>
        <w:rPr>
          <w:rFonts w:hint="eastAsia" w:ascii="Times New Roman" w:hAnsi="Times New Roman" w:cs="Times New Roman"/>
          <w:lang w:val="en-US" w:eastAsia="zh-CN"/>
        </w:rPr>
      </w:pPr>
      <w:r>
        <w:rPr>
          <w:rFonts w:hint="eastAsia" w:ascii="Times New Roman" w:hAnsi="Times New Roman" w:cs="Times New Roman"/>
          <w:lang w:val="en-US" w:eastAsia="zh-CN"/>
        </w:rPr>
        <w:t>预算单位为了</w:t>
      </w:r>
      <w:r>
        <w:rPr>
          <w:rFonts w:hint="eastAsia" w:cs="Times New Roman"/>
          <w:lang w:val="en-US" w:eastAsia="zh-CN"/>
        </w:rPr>
        <w:t>保障</w:t>
      </w:r>
      <w:r>
        <w:rPr>
          <w:rFonts w:hint="eastAsia" w:ascii="Times New Roman" w:hAnsi="Times New Roman" w:cs="Times New Roman"/>
          <w:lang w:val="en-US" w:eastAsia="zh-CN"/>
        </w:rPr>
        <w:t>检察院的</w:t>
      </w:r>
      <w:r>
        <w:rPr>
          <w:rFonts w:hint="eastAsia" w:cs="Times New Roman"/>
          <w:lang w:val="en-US" w:eastAsia="zh-CN"/>
        </w:rPr>
        <w:t>日常运行</w:t>
      </w:r>
      <w:r>
        <w:rPr>
          <w:rFonts w:hint="eastAsia" w:ascii="Times New Roman" w:hAnsi="Times New Roman" w:cs="Times New Roman"/>
          <w:lang w:val="en-US" w:eastAsia="zh-CN"/>
        </w:rPr>
        <w:t>，</w:t>
      </w:r>
      <w:r>
        <w:rPr>
          <w:rFonts w:hint="eastAsia" w:cs="Times New Roman"/>
          <w:lang w:val="en-US" w:eastAsia="zh-CN"/>
        </w:rPr>
        <w:t>委托物业公司</w:t>
      </w:r>
      <w:r>
        <w:rPr>
          <w:rFonts w:hint="eastAsia" w:ascii="Times New Roman" w:hAnsi="Times New Roman" w:cs="Times New Roman"/>
          <w:lang w:val="en-US" w:eastAsia="zh-CN"/>
        </w:rPr>
        <w:t>确保其办公环境的安全、整洁和高效运转。年初计划委托</w:t>
      </w:r>
      <w:r>
        <w:rPr>
          <w:rFonts w:hint="eastAsia" w:cs="Times New Roman"/>
          <w:lang w:val="en-US" w:eastAsia="zh-CN"/>
        </w:rPr>
        <w:t>服务4个季度</w:t>
      </w:r>
      <w:r>
        <w:rPr>
          <w:rFonts w:hint="eastAsia" w:ascii="Times New Roman" w:hAnsi="Times New Roman" w:cs="Times New Roman"/>
          <w:lang w:val="en-US" w:eastAsia="zh-CN"/>
        </w:rPr>
        <w:t>，实际在年度内完成</w:t>
      </w:r>
      <w:r>
        <w:rPr>
          <w:rFonts w:hint="eastAsia" w:cs="Times New Roman"/>
          <w:lang w:val="en-US" w:eastAsia="zh-CN"/>
        </w:rPr>
        <w:t>4个季度</w:t>
      </w:r>
      <w:r>
        <w:rPr>
          <w:rFonts w:hint="eastAsia" w:ascii="Times New Roman" w:hAnsi="Times New Roman" w:cs="Times New Roman"/>
          <w:lang w:val="en-US" w:eastAsia="zh-CN"/>
        </w:rPr>
        <w:t>，根据得分细则得</w:t>
      </w:r>
      <w:r>
        <w:rPr>
          <w:rFonts w:hint="eastAsia" w:cs="Times New Roman"/>
          <w:lang w:val="en-US" w:eastAsia="zh-CN"/>
        </w:rPr>
        <w:t>3</w:t>
      </w:r>
      <w:r>
        <w:rPr>
          <w:rFonts w:hint="eastAsia" w:ascii="Times New Roman" w:hAnsi="Times New Roman" w:cs="Times New Roman"/>
          <w:lang w:val="en-US" w:eastAsia="zh-CN"/>
        </w:rPr>
        <w:t>分。</w:t>
      </w:r>
    </w:p>
    <w:p w14:paraId="1C7CFBC5">
      <w:pPr>
        <w:bidi w:val="0"/>
        <w:rPr>
          <w:rFonts w:hint="eastAsia" w:ascii="Times New Roman" w:hAnsi="Times New Roman" w:cs="Times New Roman"/>
          <w:lang w:val="en-US" w:eastAsia="zh-CN"/>
        </w:rPr>
      </w:pPr>
      <w:r>
        <w:rPr>
          <w:rFonts w:hint="eastAsia" w:ascii="Times New Roman" w:hAnsi="Times New Roman" w:cs="Times New Roman"/>
          <w:lang w:val="en-US" w:eastAsia="zh-CN"/>
        </w:rPr>
        <w:t>（4）公务用车维护完成率</w:t>
      </w:r>
    </w:p>
    <w:p w14:paraId="1D47E2A7">
      <w:pPr>
        <w:bidi w:val="0"/>
        <w:rPr>
          <w:rFonts w:hint="eastAsia" w:ascii="Times New Roman" w:hAnsi="Times New Roman" w:cs="Times New Roman"/>
          <w:lang w:val="en-US" w:eastAsia="zh-CN"/>
        </w:rPr>
      </w:pPr>
      <w:r>
        <w:rPr>
          <w:rFonts w:hint="eastAsia" w:ascii="Times New Roman" w:hAnsi="Times New Roman" w:cs="Times New Roman"/>
          <w:lang w:val="en-US" w:eastAsia="zh-CN"/>
        </w:rPr>
        <w:t>对公务用车定期进行保养，以确保车辆的性能和安全。日常使用中，对公务用车遇到一些小的磨损或故障及时进行维修和保养。年初计划公务用车维护</w:t>
      </w:r>
      <w:r>
        <w:rPr>
          <w:rFonts w:hint="eastAsia" w:cs="Times New Roman"/>
          <w:lang w:val="en-US" w:eastAsia="zh-CN"/>
        </w:rPr>
        <w:t>7</w:t>
      </w:r>
      <w:r>
        <w:rPr>
          <w:rFonts w:hint="eastAsia" w:ascii="Times New Roman" w:hAnsi="Times New Roman" w:cs="Times New Roman"/>
          <w:lang w:val="en-US" w:eastAsia="zh-CN"/>
        </w:rPr>
        <w:t>辆，实际在年度内完成</w:t>
      </w:r>
      <w:r>
        <w:rPr>
          <w:rFonts w:hint="eastAsia" w:cs="Times New Roman"/>
          <w:lang w:val="en-US" w:eastAsia="zh-CN"/>
        </w:rPr>
        <w:t>9</w:t>
      </w:r>
      <w:r>
        <w:rPr>
          <w:rFonts w:hint="eastAsia" w:ascii="Times New Roman" w:hAnsi="Times New Roman" w:cs="Times New Roman"/>
          <w:lang w:val="en-US" w:eastAsia="zh-CN"/>
        </w:rPr>
        <w:t>辆，根据得分细则得</w:t>
      </w:r>
      <w:r>
        <w:rPr>
          <w:rFonts w:hint="eastAsia" w:cs="Times New Roman"/>
          <w:lang w:val="en-US" w:eastAsia="zh-CN"/>
        </w:rPr>
        <w:t>3</w:t>
      </w:r>
      <w:r>
        <w:rPr>
          <w:rFonts w:hint="eastAsia" w:ascii="Times New Roman" w:hAnsi="Times New Roman" w:cs="Times New Roman"/>
          <w:lang w:val="en-US" w:eastAsia="zh-CN"/>
        </w:rPr>
        <w:t>分。</w:t>
      </w:r>
    </w:p>
    <w:bookmarkEnd w:id="143"/>
    <w:p w14:paraId="15B5C27A">
      <w:pPr>
        <w:ind w:firstLine="602"/>
        <w:rPr>
          <w:rFonts w:hint="eastAsia"/>
          <w:b/>
          <w:bCs/>
          <w:sz w:val="32"/>
          <w:szCs w:val="32"/>
        </w:rPr>
      </w:pPr>
      <w:r>
        <w:rPr>
          <w:rFonts w:hint="eastAsia"/>
          <w:b/>
          <w:bCs/>
          <w:sz w:val="32"/>
          <w:szCs w:val="32"/>
        </w:rPr>
        <w:t>2.产出质量</w:t>
      </w:r>
    </w:p>
    <w:p w14:paraId="710F1505">
      <w:pPr>
        <w:bidi w:val="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（1）认罪认罚适用率</w:t>
      </w:r>
    </w:p>
    <w:p w14:paraId="03D782FC">
      <w:pPr>
        <w:bidi w:val="0"/>
        <w:rPr>
          <w:rFonts w:hint="eastAsia" w:ascii="Times New Roman" w:hAnsi="Times New Roman" w:cs="Times New Roman"/>
          <w:lang w:val="en-US" w:eastAsia="zh-CN"/>
        </w:rPr>
      </w:pPr>
      <w:r>
        <w:rPr>
          <w:rFonts w:hint="eastAsia" w:cs="Times New Roman"/>
          <w:lang w:val="en-US" w:eastAsia="zh-CN"/>
        </w:rPr>
        <w:t>2024年度刑事案件中，适用认罪认罚制度的案件数量占全部刑事案件数量的比例</w:t>
      </w:r>
      <w:r>
        <w:rPr>
          <w:rFonts w:hint="eastAsia" w:ascii="Times New Roman" w:hAnsi="Times New Roman" w:cs="Times New Roman"/>
          <w:lang w:val="en-US" w:eastAsia="zh-CN"/>
        </w:rPr>
        <w:t>年初计划</w:t>
      </w:r>
      <w:r>
        <w:rPr>
          <w:rFonts w:hint="eastAsia" w:cs="Times New Roman"/>
          <w:lang w:val="en-US" w:eastAsia="zh-CN"/>
        </w:rPr>
        <w:t>90%，</w:t>
      </w:r>
      <w:r>
        <w:rPr>
          <w:rFonts w:hint="eastAsia" w:ascii="Times New Roman" w:hAnsi="Times New Roman" w:cs="Times New Roman"/>
          <w:lang w:val="en-US" w:eastAsia="zh-CN"/>
        </w:rPr>
        <w:t>实际在年度内完成</w:t>
      </w:r>
      <w:r>
        <w:rPr>
          <w:rFonts w:hint="eastAsia" w:cs="Times New Roman"/>
          <w:lang w:val="en-US" w:eastAsia="zh-CN"/>
        </w:rPr>
        <w:t>90.34</w:t>
      </w:r>
      <w:r>
        <w:rPr>
          <w:rFonts w:hint="eastAsia" w:ascii="Times New Roman" w:hAnsi="Times New Roman" w:cs="Times New Roman"/>
          <w:lang w:val="en-US" w:eastAsia="zh-CN"/>
        </w:rPr>
        <w:t>%。此项分值2分，根据评分标准，本指标评价得2分。</w:t>
      </w:r>
    </w:p>
    <w:p w14:paraId="31E33C18">
      <w:pPr>
        <w:bidi w:val="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（2）公车维护合格率</w:t>
      </w:r>
    </w:p>
    <w:p w14:paraId="6B999A07">
      <w:pPr>
        <w:bidi w:val="0"/>
        <w:rPr>
          <w:rFonts w:hint="eastAsia" w:ascii="Times New Roman" w:hAnsi="Times New Roman" w:cs="Times New Roman"/>
          <w:lang w:val="en-US" w:eastAsia="zh-CN"/>
        </w:rPr>
      </w:pPr>
      <w:r>
        <w:rPr>
          <w:rFonts w:hint="eastAsia" w:cs="Times New Roman"/>
          <w:lang w:val="en-US" w:eastAsia="zh-CN"/>
        </w:rPr>
        <w:t>2024年度</w:t>
      </w:r>
      <w:r>
        <w:rPr>
          <w:rFonts w:hint="eastAsia" w:ascii="Times New Roman" w:hAnsi="Times New Roman" w:cs="Times New Roman"/>
          <w:highlight w:val="none"/>
          <w:lang w:val="en-US" w:eastAsia="zh-CN"/>
        </w:rPr>
        <w:t>公车维护</w:t>
      </w:r>
      <w:r>
        <w:rPr>
          <w:rFonts w:hint="eastAsia" w:ascii="Times New Roman" w:hAnsi="Times New Roman" w:cs="Times New Roman"/>
          <w:lang w:val="en-US" w:eastAsia="zh-CN"/>
        </w:rPr>
        <w:t>年初计划</w:t>
      </w:r>
      <w:r>
        <w:rPr>
          <w:rFonts w:hint="eastAsia" w:cs="Times New Roman"/>
          <w:lang w:val="en-US" w:eastAsia="zh-CN"/>
        </w:rPr>
        <w:t>7辆，</w:t>
      </w:r>
      <w:r>
        <w:rPr>
          <w:rFonts w:hint="eastAsia" w:ascii="Times New Roman" w:hAnsi="Times New Roman" w:cs="Times New Roman"/>
          <w:lang w:val="en-US" w:eastAsia="zh-CN"/>
        </w:rPr>
        <w:t>实际在年度内完成</w:t>
      </w:r>
      <w:r>
        <w:rPr>
          <w:rFonts w:hint="eastAsia" w:cs="Times New Roman"/>
          <w:lang w:val="en-US" w:eastAsia="zh-CN"/>
        </w:rPr>
        <w:t>9辆，</w:t>
      </w:r>
      <w:r>
        <w:rPr>
          <w:rFonts w:hint="eastAsia" w:ascii="Times New Roman" w:hAnsi="Times New Roman" w:cs="Times New Roman"/>
          <w:lang w:val="en-US" w:eastAsia="zh-CN"/>
        </w:rPr>
        <w:t>根据评分标准，本指标评价得2分。</w:t>
      </w:r>
    </w:p>
    <w:p w14:paraId="279B3D78">
      <w:pPr>
        <w:bidi w:val="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（3）刑事检察审查起诉案件结案率</w:t>
      </w:r>
    </w:p>
    <w:p w14:paraId="77903E5D">
      <w:pPr>
        <w:bidi w:val="0"/>
        <w:rPr>
          <w:rFonts w:hint="default" w:ascii="Times New Roman" w:hAnsi="Times New Roman" w:cs="Times New Roman"/>
          <w:lang w:val="en-US" w:eastAsia="zh-CN"/>
        </w:rPr>
      </w:pPr>
      <w:r>
        <w:rPr>
          <w:rFonts w:hint="eastAsia" w:ascii="Times New Roman" w:hAnsi="Times New Roman" w:cs="Times New Roman"/>
          <w:highlight w:val="none"/>
          <w:lang w:val="en-US" w:eastAsia="zh-CN"/>
        </w:rPr>
        <w:t>刑事检察审查起诉案件结案率年初</w:t>
      </w:r>
      <w:r>
        <w:rPr>
          <w:rFonts w:hint="eastAsia" w:ascii="Times New Roman" w:hAnsi="Times New Roman" w:cs="Times New Roman"/>
          <w:lang w:val="en-US" w:eastAsia="zh-CN"/>
        </w:rPr>
        <w:t>计划</w:t>
      </w:r>
      <w:r>
        <w:rPr>
          <w:rFonts w:hint="eastAsia" w:cs="Times New Roman"/>
          <w:lang w:val="en-US" w:eastAsia="zh-CN"/>
        </w:rPr>
        <w:t>90%,</w:t>
      </w:r>
      <w:r>
        <w:rPr>
          <w:rFonts w:hint="eastAsia" w:ascii="Times New Roman" w:hAnsi="Times New Roman" w:cs="Times New Roman"/>
          <w:lang w:val="en-US" w:eastAsia="zh-CN"/>
        </w:rPr>
        <w:t>实际在年度内完成</w:t>
      </w:r>
      <w:r>
        <w:rPr>
          <w:rFonts w:hint="eastAsia" w:cs="Times New Roman"/>
          <w:lang w:val="en-US" w:eastAsia="zh-CN"/>
        </w:rPr>
        <w:t>98.5</w:t>
      </w:r>
      <w:r>
        <w:rPr>
          <w:rFonts w:hint="eastAsia" w:ascii="Times New Roman" w:hAnsi="Times New Roman" w:cs="Times New Roman"/>
          <w:lang w:val="en-US" w:eastAsia="zh-CN"/>
        </w:rPr>
        <w:t>%。</w:t>
      </w:r>
      <w:r>
        <w:rPr>
          <w:rFonts w:hint="default" w:ascii="Times New Roman" w:hAnsi="Times New Roman" w:cs="Times New Roman"/>
          <w:lang w:val="en-US" w:eastAsia="zh-CN"/>
        </w:rPr>
        <w:t>此项分值2分，根据评分标准，本指标评价得2分。</w:t>
      </w:r>
    </w:p>
    <w:p w14:paraId="5C9271AB">
      <w:pPr>
        <w:bidi w:val="0"/>
        <w:rPr>
          <w:rFonts w:hint="default" w:ascii="Times New Roman" w:hAnsi="Times New Roman" w:cs="Times New Roman"/>
          <w:lang w:val="en-US" w:eastAsia="zh-CN"/>
        </w:rPr>
      </w:pPr>
      <w:r>
        <w:rPr>
          <w:rFonts w:hint="eastAsia" w:ascii="Times New Roman" w:hAnsi="Times New Roman" w:cs="Times New Roman"/>
          <w:lang w:val="en-US" w:eastAsia="zh-CN"/>
        </w:rPr>
        <w:t>（4）委托服务达标率</w:t>
      </w:r>
    </w:p>
    <w:p w14:paraId="7699B8C7">
      <w:pPr>
        <w:bidi w:val="0"/>
        <w:rPr>
          <w:rFonts w:hint="default" w:ascii="Times New Roman" w:hAnsi="Times New Roman" w:cs="Times New Roman"/>
          <w:lang w:val="en-US" w:eastAsia="zh-CN"/>
        </w:rPr>
      </w:pPr>
      <w:r>
        <w:rPr>
          <w:rFonts w:hint="eastAsia" w:ascii="Times New Roman" w:hAnsi="Times New Roman" w:cs="Times New Roman"/>
          <w:lang w:val="en-US" w:eastAsia="zh-CN"/>
        </w:rPr>
        <w:t>委托的服务机构和人员遵守检察院的工作规范和流程，按照约定的服务标准和要求提供服务。年初计划委托服务达标率为</w:t>
      </w:r>
      <w:r>
        <w:rPr>
          <w:rFonts w:hint="eastAsia" w:cs="Times New Roman"/>
          <w:lang w:val="en-US" w:eastAsia="zh-CN"/>
        </w:rPr>
        <w:t>100</w:t>
      </w:r>
      <w:r>
        <w:rPr>
          <w:rFonts w:hint="eastAsia" w:ascii="Times New Roman" w:hAnsi="Times New Roman" w:cs="Times New Roman"/>
          <w:lang w:val="en-US" w:eastAsia="zh-CN"/>
        </w:rPr>
        <w:t>%，实际在年度内完成100%。</w:t>
      </w:r>
      <w:r>
        <w:rPr>
          <w:rFonts w:hint="default" w:ascii="Times New Roman" w:hAnsi="Times New Roman" w:cs="Times New Roman"/>
          <w:lang w:val="en-US" w:eastAsia="zh-CN"/>
        </w:rPr>
        <w:t>此项分值2分，根据评分标准，本指标评价得2分。</w:t>
      </w:r>
    </w:p>
    <w:p w14:paraId="60D07F4C">
      <w:pPr>
        <w:ind w:firstLine="602"/>
        <w:rPr>
          <w:rFonts w:hint="eastAsia"/>
          <w:b/>
          <w:bCs/>
          <w:sz w:val="32"/>
          <w:szCs w:val="32"/>
        </w:rPr>
      </w:pPr>
      <w:r>
        <w:rPr>
          <w:rFonts w:hint="eastAsia"/>
          <w:b/>
          <w:bCs/>
          <w:sz w:val="32"/>
          <w:szCs w:val="32"/>
        </w:rPr>
        <w:t>3.产出时效</w:t>
      </w:r>
    </w:p>
    <w:p w14:paraId="04AE05D4">
      <w:pPr>
        <w:bidi w:val="0"/>
        <w:rPr>
          <w:rFonts w:hint="eastAsia" w:ascii="Times New Roman" w:hAnsi="Times New Roman" w:cs="Times New Roman"/>
          <w:lang w:val="en-US" w:eastAsia="zh-CN"/>
        </w:rPr>
      </w:pPr>
      <w:r>
        <w:rPr>
          <w:rFonts w:hint="eastAsia" w:ascii="Times New Roman" w:hAnsi="Times New Roman" w:cs="Times New Roman"/>
          <w:lang w:val="en-US" w:eastAsia="zh-CN"/>
        </w:rPr>
        <w:t>（1）受理刑事检察案件及时率</w:t>
      </w:r>
    </w:p>
    <w:p w14:paraId="05488EA2">
      <w:pPr>
        <w:bidi w:val="0"/>
        <w:rPr>
          <w:rFonts w:hint="eastAsia" w:ascii="Times New Roman" w:hAnsi="Times New Roman" w:cs="Times New Roman"/>
          <w:lang w:val="en-US" w:eastAsia="zh-CN"/>
        </w:rPr>
      </w:pPr>
      <w:r>
        <w:rPr>
          <w:rFonts w:hint="eastAsia" w:ascii="Times New Roman" w:hAnsi="Times New Roman" w:cs="Times New Roman"/>
          <w:lang w:val="en-US" w:eastAsia="zh-CN"/>
        </w:rPr>
        <w:t>年初计划受理刑事检察案件及时率在</w:t>
      </w:r>
      <w:r>
        <w:rPr>
          <w:rFonts w:hint="eastAsia" w:cs="Times New Roman"/>
          <w:lang w:val="en-US" w:eastAsia="zh-CN"/>
        </w:rPr>
        <w:t>100</w:t>
      </w:r>
      <w:r>
        <w:rPr>
          <w:rFonts w:hint="eastAsia" w:ascii="Times New Roman" w:hAnsi="Times New Roman" w:cs="Times New Roman"/>
          <w:lang w:val="en-US" w:eastAsia="zh-CN"/>
        </w:rPr>
        <w:t>%以上，实际受理刑事检察案件及时率完成100%。此项分值2分，根据评分标准，本指标评价得2分。</w:t>
      </w:r>
    </w:p>
    <w:p w14:paraId="4684DBA4">
      <w:pPr>
        <w:bidi w:val="0"/>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cs="Times New Roman"/>
          <w:lang w:val="en-US" w:eastAsia="zh-CN"/>
        </w:rPr>
        <w:t>2</w:t>
      </w:r>
      <w:r>
        <w:rPr>
          <w:rFonts w:hint="eastAsia" w:ascii="Times New Roman" w:hAnsi="Times New Roman" w:cs="Times New Roman"/>
          <w:lang w:val="en-US" w:eastAsia="zh-CN"/>
        </w:rPr>
        <w:t>）资金支付及时率</w:t>
      </w:r>
    </w:p>
    <w:p w14:paraId="651444EF">
      <w:pPr>
        <w:bidi w:val="0"/>
        <w:rPr>
          <w:rFonts w:hint="eastAsia" w:ascii="Times New Roman" w:hAnsi="Times New Roman" w:cs="Times New Roman"/>
          <w:lang w:val="en-US" w:eastAsia="zh-CN"/>
        </w:rPr>
      </w:pPr>
      <w:r>
        <w:rPr>
          <w:rFonts w:hint="eastAsia" w:ascii="Times New Roman" w:hAnsi="Times New Roman" w:cs="Times New Roman"/>
          <w:lang w:val="en-US" w:eastAsia="zh-CN"/>
        </w:rPr>
        <w:t>年初计划资金支付及时率为9</w:t>
      </w:r>
      <w:r>
        <w:rPr>
          <w:rFonts w:hint="eastAsia" w:cs="Times New Roman"/>
          <w:lang w:val="en-US" w:eastAsia="zh-CN"/>
        </w:rPr>
        <w:t>0</w:t>
      </w:r>
      <w:r>
        <w:rPr>
          <w:rFonts w:hint="eastAsia" w:ascii="Times New Roman" w:hAnsi="Times New Roman" w:cs="Times New Roman"/>
          <w:lang w:val="en-US" w:eastAsia="zh-CN"/>
        </w:rPr>
        <w:t>%以上，实际资金支付及时率完成100%。此项分值</w:t>
      </w:r>
      <w:r>
        <w:rPr>
          <w:rFonts w:hint="eastAsia" w:cs="Times New Roman"/>
          <w:lang w:val="en-US" w:eastAsia="zh-CN"/>
        </w:rPr>
        <w:t>2</w:t>
      </w:r>
      <w:r>
        <w:rPr>
          <w:rFonts w:hint="eastAsia" w:ascii="Times New Roman" w:hAnsi="Times New Roman" w:cs="Times New Roman"/>
          <w:lang w:val="en-US" w:eastAsia="zh-CN"/>
        </w:rPr>
        <w:t>分，根据评分标准，本指标评价得</w:t>
      </w:r>
      <w:r>
        <w:rPr>
          <w:rFonts w:hint="eastAsia" w:cs="Times New Roman"/>
          <w:lang w:val="en-US" w:eastAsia="zh-CN"/>
        </w:rPr>
        <w:t>2</w:t>
      </w:r>
      <w:r>
        <w:rPr>
          <w:rFonts w:hint="eastAsia" w:ascii="Times New Roman" w:hAnsi="Times New Roman" w:cs="Times New Roman"/>
          <w:lang w:val="en-US" w:eastAsia="zh-CN"/>
        </w:rPr>
        <w:t>分。</w:t>
      </w:r>
    </w:p>
    <w:p w14:paraId="06FBC4C7">
      <w:pPr>
        <w:ind w:firstLine="602"/>
        <w:rPr>
          <w:rFonts w:hint="eastAsia"/>
          <w:b/>
          <w:bCs/>
          <w:sz w:val="32"/>
          <w:szCs w:val="32"/>
        </w:rPr>
      </w:pPr>
      <w:r>
        <w:rPr>
          <w:rFonts w:hint="eastAsia"/>
          <w:b/>
          <w:bCs/>
          <w:sz w:val="32"/>
          <w:szCs w:val="32"/>
        </w:rPr>
        <w:t>4.产出成本</w:t>
      </w:r>
    </w:p>
    <w:p w14:paraId="56261080">
      <w:pPr>
        <w:bidi w:val="0"/>
        <w:rPr>
          <w:rFonts w:hint="eastAsia" w:ascii="Times New Roman" w:hAnsi="Times New Roman" w:cs="Times New Roman"/>
          <w:lang w:val="en-US" w:eastAsia="zh-CN"/>
        </w:rPr>
      </w:pPr>
      <w:r>
        <w:rPr>
          <w:rFonts w:hint="eastAsia" w:ascii="Times New Roman" w:hAnsi="Times New Roman" w:cs="Times New Roman"/>
          <w:lang w:val="en-US" w:eastAsia="zh-CN"/>
        </w:rPr>
        <w:t>（1）公务用车运行维护费</w:t>
      </w:r>
    </w:p>
    <w:p w14:paraId="5EFE09E2">
      <w:pPr>
        <w:bidi w:val="0"/>
        <w:rPr>
          <w:rFonts w:hint="default" w:ascii="Times New Roman" w:hAnsi="Times New Roman" w:cs="Times New Roman"/>
          <w:lang w:val="en-US" w:eastAsia="zh-CN"/>
        </w:rPr>
      </w:pPr>
      <w:r>
        <w:rPr>
          <w:rFonts w:hint="eastAsia" w:ascii="Times New Roman" w:hAnsi="Times New Roman" w:cs="Times New Roman"/>
          <w:lang w:val="en-US" w:eastAsia="zh-CN"/>
        </w:rPr>
        <w:t>本项目设置公务用车运行维护费成本目标值25.00万元，公务用车运行维护费实际支出成本25.00万元。此项分值</w:t>
      </w:r>
      <w:r>
        <w:rPr>
          <w:rFonts w:hint="eastAsia" w:cs="Times New Roman"/>
          <w:lang w:val="en-US" w:eastAsia="zh-CN"/>
        </w:rPr>
        <w:t>2</w:t>
      </w:r>
      <w:r>
        <w:rPr>
          <w:rFonts w:hint="eastAsia" w:ascii="Times New Roman" w:hAnsi="Times New Roman" w:cs="Times New Roman"/>
          <w:lang w:val="en-US" w:eastAsia="zh-CN"/>
        </w:rPr>
        <w:t>分，根据评分标准，本指标评价得</w:t>
      </w:r>
      <w:r>
        <w:rPr>
          <w:rFonts w:hint="eastAsia" w:cs="Times New Roman"/>
          <w:lang w:val="en-US" w:eastAsia="zh-CN"/>
        </w:rPr>
        <w:t>2</w:t>
      </w:r>
      <w:r>
        <w:rPr>
          <w:rFonts w:hint="eastAsia" w:ascii="Times New Roman" w:hAnsi="Times New Roman" w:cs="Times New Roman"/>
          <w:lang w:val="en-US" w:eastAsia="zh-CN"/>
        </w:rPr>
        <w:t>分。</w:t>
      </w:r>
    </w:p>
    <w:p w14:paraId="4D6DBB52">
      <w:pPr>
        <w:numPr>
          <w:ilvl w:val="0"/>
          <w:numId w:val="1"/>
        </w:numPr>
        <w:bidi w:val="0"/>
        <w:rPr>
          <w:rFonts w:hint="eastAsia" w:ascii="Times New Roman" w:hAnsi="Times New Roman" w:cs="Times New Roman"/>
          <w:lang w:val="en-US" w:eastAsia="zh-CN"/>
        </w:rPr>
      </w:pPr>
      <w:r>
        <w:rPr>
          <w:rFonts w:hint="eastAsia" w:ascii="Times New Roman" w:hAnsi="Times New Roman" w:cs="Times New Roman"/>
          <w:lang w:val="en-US" w:eastAsia="zh-CN"/>
        </w:rPr>
        <w:t>委托物业服务</w:t>
      </w:r>
    </w:p>
    <w:p w14:paraId="1D75FC4B">
      <w:pPr>
        <w:bidi w:val="0"/>
        <w:rPr>
          <w:rFonts w:hint="eastAsia" w:ascii="Times New Roman" w:hAnsi="Times New Roman" w:cs="Times New Roman"/>
          <w:lang w:val="en-US" w:eastAsia="zh-CN"/>
        </w:rPr>
      </w:pPr>
      <w:r>
        <w:rPr>
          <w:rFonts w:hint="eastAsia" w:ascii="Times New Roman" w:hAnsi="Times New Roman" w:cs="Times New Roman"/>
          <w:lang w:val="en-US" w:eastAsia="zh-CN"/>
        </w:rPr>
        <w:t>本项目设置委托物业服务成本目标值90.00万元，委托物业服务实际支出成本90.00万元。此项分值</w:t>
      </w:r>
      <w:r>
        <w:rPr>
          <w:rFonts w:hint="eastAsia" w:cs="Times New Roman"/>
          <w:lang w:val="en-US" w:eastAsia="zh-CN"/>
        </w:rPr>
        <w:t>2</w:t>
      </w:r>
      <w:r>
        <w:rPr>
          <w:rFonts w:hint="eastAsia" w:ascii="Times New Roman" w:hAnsi="Times New Roman" w:cs="Times New Roman"/>
          <w:lang w:val="en-US" w:eastAsia="zh-CN"/>
        </w:rPr>
        <w:t>分，根据评分标准，本指标评价得</w:t>
      </w:r>
      <w:r>
        <w:rPr>
          <w:rFonts w:hint="eastAsia" w:cs="Times New Roman"/>
          <w:lang w:val="en-US" w:eastAsia="zh-CN"/>
        </w:rPr>
        <w:t>2</w:t>
      </w:r>
      <w:r>
        <w:rPr>
          <w:rFonts w:hint="eastAsia" w:ascii="Times New Roman" w:hAnsi="Times New Roman" w:cs="Times New Roman"/>
          <w:lang w:val="en-US" w:eastAsia="zh-CN"/>
        </w:rPr>
        <w:t>分。</w:t>
      </w:r>
    </w:p>
    <w:p w14:paraId="1C5456C4">
      <w:pPr>
        <w:bidi w:val="0"/>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cs="Times New Roman"/>
          <w:lang w:val="en-US" w:eastAsia="zh-CN"/>
        </w:rPr>
        <w:t>3</w:t>
      </w:r>
      <w:r>
        <w:rPr>
          <w:rFonts w:hint="eastAsia" w:ascii="Times New Roman" w:hAnsi="Times New Roman" w:cs="Times New Roman"/>
          <w:lang w:val="en-US" w:eastAsia="zh-CN"/>
        </w:rPr>
        <w:t>）项目总成本</w:t>
      </w:r>
    </w:p>
    <w:p w14:paraId="5D5892CD">
      <w:pPr>
        <w:bidi w:val="0"/>
        <w:rPr>
          <w:rFonts w:hint="default" w:ascii="Times New Roman" w:hAnsi="Times New Roman" w:cs="Times New Roman"/>
          <w:lang w:val="en-US" w:eastAsia="zh-CN"/>
        </w:rPr>
      </w:pPr>
      <w:r>
        <w:rPr>
          <w:rFonts w:hint="eastAsia" w:ascii="Times New Roman" w:hAnsi="Times New Roman" w:cs="Times New Roman"/>
          <w:lang w:val="en-US" w:eastAsia="zh-CN"/>
        </w:rPr>
        <w:t>本项目设置项目总成本为</w:t>
      </w:r>
      <w:r>
        <w:rPr>
          <w:rFonts w:hint="eastAsia" w:cs="Times New Roman"/>
          <w:lang w:val="en-US" w:eastAsia="zh-CN"/>
        </w:rPr>
        <w:t>304.00</w:t>
      </w:r>
      <w:r>
        <w:rPr>
          <w:rFonts w:hint="eastAsia" w:ascii="Times New Roman" w:hAnsi="Times New Roman" w:cs="Times New Roman"/>
          <w:lang w:val="en-US" w:eastAsia="zh-CN"/>
        </w:rPr>
        <w:t>万元，实际支出预算数为</w:t>
      </w:r>
      <w:r>
        <w:rPr>
          <w:rFonts w:hint="eastAsia" w:cs="Times New Roman"/>
          <w:lang w:val="en-US" w:eastAsia="zh-CN"/>
        </w:rPr>
        <w:t>353.96</w:t>
      </w:r>
      <w:r>
        <w:rPr>
          <w:rFonts w:hint="eastAsia" w:ascii="Times New Roman" w:hAnsi="Times New Roman" w:cs="Times New Roman"/>
          <w:lang w:val="en-US" w:eastAsia="zh-CN"/>
        </w:rPr>
        <w:t>万元，其中办公经费支出</w:t>
      </w:r>
      <w:r>
        <w:rPr>
          <w:rFonts w:hint="eastAsia" w:cs="Times New Roman"/>
          <w:lang w:val="en-US" w:eastAsia="zh-CN"/>
        </w:rPr>
        <w:t>45.63</w:t>
      </w:r>
      <w:r>
        <w:rPr>
          <w:rFonts w:hint="eastAsia" w:ascii="Times New Roman" w:hAnsi="Times New Roman" w:cs="Times New Roman"/>
          <w:lang w:val="en-US" w:eastAsia="zh-CN"/>
        </w:rPr>
        <w:t>万元、</w:t>
      </w:r>
      <w:r>
        <w:rPr>
          <w:rFonts w:hint="eastAsia" w:cs="Times New Roman"/>
          <w:lang w:val="en-US" w:eastAsia="zh-CN"/>
        </w:rPr>
        <w:t>印刷费14.00万元、邮电费0.80万元、取暖费25.84万元、物业费90.00万元</w:t>
      </w:r>
      <w:r>
        <w:rPr>
          <w:rFonts w:hint="eastAsia" w:ascii="Times New Roman" w:hAnsi="Times New Roman" w:cs="Times New Roman"/>
          <w:lang w:val="en-US" w:eastAsia="zh-CN"/>
        </w:rPr>
        <w:t>、</w:t>
      </w:r>
      <w:r>
        <w:rPr>
          <w:rFonts w:hint="eastAsia" w:cs="Times New Roman"/>
          <w:lang w:val="en-US" w:eastAsia="zh-CN"/>
        </w:rPr>
        <w:t>差旅费72.07万元、维修（护）费41.96万元、租赁费3.50万元、劳务费5.97万元、委托业务费29.18万元、</w:t>
      </w:r>
      <w:r>
        <w:rPr>
          <w:rFonts w:hint="eastAsia" w:ascii="Times New Roman" w:hAnsi="Times New Roman" w:cs="Times New Roman"/>
          <w:lang w:val="en-US" w:eastAsia="zh-CN"/>
        </w:rPr>
        <w:t>公务用车运行维护费25万元，</w:t>
      </w:r>
      <w:r>
        <w:rPr>
          <w:rFonts w:hint="eastAsia" w:cs="Times New Roman"/>
          <w:lang w:val="en-US" w:eastAsia="zh-CN"/>
        </w:rPr>
        <w:t>当年追加项目资金未调整项目绩效目标</w:t>
      </w:r>
      <w:r>
        <w:rPr>
          <w:rFonts w:hint="eastAsia" w:ascii="Times New Roman" w:hAnsi="Times New Roman" w:cs="Times New Roman"/>
          <w:lang w:val="en-US" w:eastAsia="zh-CN"/>
        </w:rPr>
        <w:t>。此项分值</w:t>
      </w:r>
      <w:r>
        <w:rPr>
          <w:rFonts w:hint="eastAsia" w:cs="Times New Roman"/>
          <w:lang w:val="en-US" w:eastAsia="zh-CN"/>
        </w:rPr>
        <w:t>2</w:t>
      </w:r>
      <w:r>
        <w:rPr>
          <w:rFonts w:hint="eastAsia" w:ascii="Times New Roman" w:hAnsi="Times New Roman" w:cs="Times New Roman"/>
          <w:lang w:val="en-US" w:eastAsia="zh-CN"/>
        </w:rPr>
        <w:t>分，根据评分标准，本指标评价得</w:t>
      </w:r>
      <w:r>
        <w:rPr>
          <w:rFonts w:hint="eastAsia" w:cs="Times New Roman"/>
          <w:lang w:val="en-US" w:eastAsia="zh-CN"/>
        </w:rPr>
        <w:t>0</w:t>
      </w:r>
      <w:r>
        <w:rPr>
          <w:rFonts w:hint="eastAsia" w:ascii="Times New Roman" w:hAnsi="Times New Roman" w:cs="Times New Roman"/>
          <w:lang w:val="en-US" w:eastAsia="zh-CN"/>
        </w:rPr>
        <w:t>分。</w:t>
      </w:r>
    </w:p>
    <w:p w14:paraId="25ECECD3">
      <w:pPr>
        <w:widowControl/>
        <w:ind w:firstLine="643"/>
        <w:jc w:val="left"/>
        <w:outlineLvl w:val="1"/>
        <w:rPr>
          <w:rFonts w:eastAsia="楷体" w:cs="楷体"/>
          <w:b/>
          <w:kern w:val="0"/>
          <w:sz w:val="32"/>
          <w:szCs w:val="32"/>
          <w:lang w:bidi="ar"/>
        </w:rPr>
      </w:pPr>
      <w:bookmarkStart w:id="144" w:name="_Toc24442"/>
      <w:bookmarkStart w:id="145" w:name="_Toc25281"/>
      <w:r>
        <w:rPr>
          <w:rFonts w:hint="eastAsia" w:eastAsia="楷体" w:cs="楷体"/>
          <w:b/>
          <w:kern w:val="0"/>
          <w:sz w:val="32"/>
          <w:szCs w:val="32"/>
          <w:lang w:bidi="ar"/>
        </w:rPr>
        <w:t>（四）项目效益</w:t>
      </w:r>
      <w:bookmarkEnd w:id="139"/>
      <w:bookmarkEnd w:id="140"/>
      <w:bookmarkEnd w:id="141"/>
      <w:bookmarkEnd w:id="142"/>
      <w:r>
        <w:rPr>
          <w:rFonts w:hint="eastAsia" w:eastAsia="楷体" w:cs="楷体"/>
          <w:b/>
          <w:kern w:val="0"/>
          <w:sz w:val="32"/>
          <w:szCs w:val="32"/>
          <w:lang w:bidi="ar"/>
        </w:rPr>
        <w:t>情况</w:t>
      </w:r>
      <w:bookmarkEnd w:id="144"/>
      <w:bookmarkEnd w:id="145"/>
    </w:p>
    <w:p w14:paraId="17EC29D9">
      <w:pPr>
        <w:bidi w:val="0"/>
        <w:rPr>
          <w:rFonts w:hint="default" w:ascii="Times New Roman" w:hAnsi="Times New Roman" w:cs="Times New Roman"/>
          <w:lang w:val="en-US" w:eastAsia="zh-CN"/>
        </w:rPr>
      </w:pPr>
      <w:r>
        <w:rPr>
          <w:rFonts w:hint="eastAsia" w:ascii="Times New Roman" w:hAnsi="Times New Roman" w:cs="Times New Roman"/>
          <w:lang w:val="en-US" w:eastAsia="zh-CN"/>
        </w:rPr>
        <w:t>项目效益主要从社会效益、可持续影响、社会公众或服务对象满意度三方面予以考察。该部分分值30分，评价得分</w:t>
      </w:r>
      <w:r>
        <w:rPr>
          <w:rFonts w:hint="eastAsia" w:cs="Times New Roman"/>
          <w:lang w:val="en-US" w:eastAsia="zh-CN"/>
        </w:rPr>
        <w:t>29.65</w:t>
      </w:r>
      <w:r>
        <w:rPr>
          <w:rFonts w:hint="eastAsia" w:ascii="Times New Roman" w:hAnsi="Times New Roman" w:cs="Times New Roman"/>
          <w:lang w:val="en-US" w:eastAsia="zh-CN"/>
        </w:rPr>
        <w:t>分，得分率</w:t>
      </w:r>
      <w:r>
        <w:rPr>
          <w:rFonts w:hint="eastAsia" w:cs="Times New Roman"/>
          <w:lang w:val="en-US" w:eastAsia="zh-CN"/>
        </w:rPr>
        <w:t>98.33</w:t>
      </w:r>
      <w:r>
        <w:rPr>
          <w:rFonts w:hint="eastAsia" w:ascii="Times New Roman" w:hAnsi="Times New Roman" w:cs="Times New Roman"/>
          <w:lang w:val="en-US" w:eastAsia="zh-CN"/>
        </w:rPr>
        <w:t>%，具体详见表4-4。</w:t>
      </w:r>
    </w:p>
    <w:p w14:paraId="7F29B419">
      <w:pPr>
        <w:ind w:firstLine="0" w:firstLineChars="0"/>
        <w:jc w:val="center"/>
        <w:rPr>
          <w:rFonts w:ascii="仿宋" w:hAnsi="仿宋" w:eastAsia="仿宋" w:cs="仿宋"/>
          <w:b/>
          <w:bCs/>
          <w:sz w:val="24"/>
        </w:rPr>
      </w:pPr>
      <w:r>
        <w:rPr>
          <w:rFonts w:hint="eastAsia" w:ascii="仿宋" w:hAnsi="仿宋" w:eastAsia="仿宋" w:cs="仿宋"/>
          <w:b/>
          <w:bCs/>
          <w:sz w:val="24"/>
        </w:rPr>
        <w:t>表4-4  项目效益得分表</w:t>
      </w:r>
    </w:p>
    <w:tbl>
      <w:tblPr>
        <w:tblStyle w:val="23"/>
        <w:tblW w:w="87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2"/>
        <w:gridCol w:w="2902"/>
        <w:gridCol w:w="785"/>
        <w:gridCol w:w="1179"/>
        <w:gridCol w:w="1156"/>
        <w:gridCol w:w="1156"/>
      </w:tblGrid>
      <w:tr w14:paraId="030F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1562" w:type="dxa"/>
            <w:tcBorders>
              <w:top w:val="single" w:color="000000" w:sz="12" w:space="0"/>
              <w:left w:val="nil"/>
              <w:bottom w:val="single" w:color="000000" w:sz="8" w:space="0"/>
              <w:right w:val="single" w:color="000000" w:sz="8" w:space="0"/>
            </w:tcBorders>
            <w:shd w:val="clear" w:color="auto" w:fill="auto"/>
            <w:vAlign w:val="center"/>
          </w:tcPr>
          <w:p w14:paraId="76581D8F">
            <w:pPr>
              <w:keepNext w:val="0"/>
              <w:keepLines w:val="0"/>
              <w:widowControl/>
              <w:suppressLineNumbers w:val="0"/>
              <w:ind w:left="0" w:leftChars="0" w:firstLine="0" w:firstLineChars="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二级指标</w:t>
            </w:r>
          </w:p>
        </w:tc>
        <w:tc>
          <w:tcPr>
            <w:tcW w:w="2902" w:type="dxa"/>
            <w:tcBorders>
              <w:top w:val="single" w:color="000000" w:sz="12" w:space="0"/>
              <w:left w:val="single" w:color="000000" w:sz="8" w:space="0"/>
              <w:bottom w:val="single" w:color="000000" w:sz="8" w:space="0"/>
              <w:right w:val="single" w:color="000000" w:sz="8" w:space="0"/>
            </w:tcBorders>
            <w:shd w:val="clear" w:color="auto" w:fill="auto"/>
            <w:vAlign w:val="center"/>
          </w:tcPr>
          <w:p w14:paraId="1EB2AC72">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三级指标</w:t>
            </w:r>
          </w:p>
        </w:tc>
        <w:tc>
          <w:tcPr>
            <w:tcW w:w="785" w:type="dxa"/>
            <w:tcBorders>
              <w:top w:val="single" w:color="000000" w:sz="12" w:space="0"/>
              <w:left w:val="single" w:color="000000" w:sz="8" w:space="0"/>
              <w:bottom w:val="single" w:color="000000" w:sz="8" w:space="0"/>
              <w:right w:val="single" w:color="000000" w:sz="8" w:space="0"/>
            </w:tcBorders>
            <w:shd w:val="clear" w:color="auto" w:fill="auto"/>
            <w:vAlign w:val="center"/>
          </w:tcPr>
          <w:p w14:paraId="670DA773">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权重</w:t>
            </w:r>
          </w:p>
        </w:tc>
        <w:tc>
          <w:tcPr>
            <w:tcW w:w="1179" w:type="dxa"/>
            <w:tcBorders>
              <w:top w:val="single" w:color="000000" w:sz="12" w:space="0"/>
              <w:left w:val="single" w:color="000000" w:sz="8" w:space="0"/>
              <w:bottom w:val="single" w:color="000000" w:sz="8" w:space="0"/>
              <w:right w:val="single" w:color="000000" w:sz="8" w:space="0"/>
            </w:tcBorders>
            <w:shd w:val="clear" w:color="auto" w:fill="auto"/>
            <w:vAlign w:val="center"/>
          </w:tcPr>
          <w:p w14:paraId="78B7DA12">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w:t>
            </w:r>
          </w:p>
        </w:tc>
        <w:tc>
          <w:tcPr>
            <w:tcW w:w="1156" w:type="dxa"/>
            <w:tcBorders>
              <w:top w:val="single" w:color="000000" w:sz="12" w:space="0"/>
              <w:left w:val="single" w:color="000000" w:sz="8" w:space="0"/>
              <w:bottom w:val="single" w:color="000000" w:sz="8" w:space="0"/>
              <w:right w:val="single" w:color="000000" w:sz="8" w:space="0"/>
            </w:tcBorders>
            <w:shd w:val="clear" w:color="auto" w:fill="auto"/>
            <w:vAlign w:val="center"/>
          </w:tcPr>
          <w:p w14:paraId="124AA6EA">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得分率</w:t>
            </w:r>
          </w:p>
        </w:tc>
        <w:tc>
          <w:tcPr>
            <w:tcW w:w="1156" w:type="dxa"/>
            <w:tcBorders>
              <w:top w:val="single" w:color="000000" w:sz="12" w:space="0"/>
              <w:left w:val="single" w:color="000000" w:sz="8" w:space="0"/>
              <w:bottom w:val="single" w:color="000000" w:sz="8" w:space="0"/>
              <w:right w:val="nil"/>
            </w:tcBorders>
            <w:shd w:val="clear" w:color="auto" w:fill="auto"/>
            <w:vAlign w:val="center"/>
          </w:tcPr>
          <w:p w14:paraId="1A40C781">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扣分要点</w:t>
            </w:r>
          </w:p>
        </w:tc>
      </w:tr>
      <w:tr w14:paraId="5E48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562" w:type="dxa"/>
            <w:vMerge w:val="restart"/>
            <w:tcBorders>
              <w:top w:val="single" w:color="000000" w:sz="8" w:space="0"/>
              <w:left w:val="nil"/>
              <w:bottom w:val="single" w:color="000000" w:sz="8" w:space="0"/>
              <w:right w:val="single" w:color="000000" w:sz="8" w:space="0"/>
            </w:tcBorders>
            <w:shd w:val="clear" w:color="auto" w:fill="auto"/>
            <w:vAlign w:val="center"/>
          </w:tcPr>
          <w:p w14:paraId="79B1CE7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w:t>
            </w:r>
          </w:p>
        </w:tc>
        <w:tc>
          <w:tcPr>
            <w:tcW w:w="2902" w:type="dxa"/>
            <w:tcBorders>
              <w:top w:val="single" w:color="000000" w:sz="4" w:space="0"/>
              <w:left w:val="single" w:color="000000" w:sz="4" w:space="0"/>
              <w:bottom w:val="nil"/>
              <w:right w:val="single" w:color="000000" w:sz="4" w:space="0"/>
            </w:tcBorders>
            <w:shd w:val="clear" w:color="auto" w:fill="auto"/>
            <w:vAlign w:val="center"/>
          </w:tcPr>
          <w:p w14:paraId="56321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全面提升干警综合素能</w:t>
            </w:r>
          </w:p>
        </w:tc>
        <w:tc>
          <w:tcPr>
            <w:tcW w:w="7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44E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EA3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5.84</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D830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97.33%</w:t>
            </w:r>
          </w:p>
        </w:tc>
        <w:tc>
          <w:tcPr>
            <w:tcW w:w="1156" w:type="dxa"/>
            <w:tcBorders>
              <w:top w:val="single" w:color="000000" w:sz="8" w:space="0"/>
              <w:left w:val="single" w:color="000000" w:sz="8" w:space="0"/>
              <w:bottom w:val="single" w:color="000000" w:sz="8" w:space="0"/>
              <w:right w:val="nil"/>
            </w:tcBorders>
            <w:shd w:val="clear" w:color="auto" w:fill="auto"/>
            <w:vAlign w:val="center"/>
          </w:tcPr>
          <w:p w14:paraId="0D6F3DD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7142F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2" w:type="dxa"/>
            <w:vMerge w:val="continue"/>
            <w:tcBorders>
              <w:top w:val="single" w:color="000000" w:sz="8" w:space="0"/>
              <w:left w:val="nil"/>
              <w:bottom w:val="single" w:color="000000" w:sz="8" w:space="0"/>
              <w:right w:val="single" w:color="000000" w:sz="8" w:space="0"/>
            </w:tcBorders>
            <w:shd w:val="clear" w:color="auto" w:fill="auto"/>
            <w:vAlign w:val="center"/>
          </w:tcPr>
          <w:p w14:paraId="3E123CA6">
            <w:pPr>
              <w:jc w:val="center"/>
              <w:rPr>
                <w:rFonts w:hint="eastAsia" w:ascii="仿宋" w:hAnsi="仿宋" w:eastAsia="仿宋" w:cs="仿宋"/>
                <w:i w:val="0"/>
                <w:iCs w:val="0"/>
                <w:color w:val="000000"/>
                <w:sz w:val="21"/>
                <w:szCs w:val="21"/>
                <w:u w:val="none"/>
              </w:rPr>
            </w:pPr>
          </w:p>
        </w:tc>
        <w:tc>
          <w:tcPr>
            <w:tcW w:w="2902" w:type="dxa"/>
            <w:tcBorders>
              <w:top w:val="single" w:color="000000" w:sz="4" w:space="0"/>
              <w:left w:val="single" w:color="000000" w:sz="4" w:space="0"/>
              <w:bottom w:val="nil"/>
              <w:right w:val="single" w:color="000000" w:sz="4" w:space="0"/>
            </w:tcBorders>
            <w:shd w:val="clear" w:color="auto" w:fill="auto"/>
            <w:vAlign w:val="center"/>
          </w:tcPr>
          <w:p w14:paraId="11BFE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提高办案效率</w:t>
            </w:r>
          </w:p>
        </w:tc>
        <w:tc>
          <w:tcPr>
            <w:tcW w:w="7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8DA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27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5.81</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6B25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96.83%</w:t>
            </w:r>
          </w:p>
        </w:tc>
        <w:tc>
          <w:tcPr>
            <w:tcW w:w="1156" w:type="dxa"/>
            <w:tcBorders>
              <w:top w:val="single" w:color="000000" w:sz="8" w:space="0"/>
              <w:left w:val="single" w:color="000000" w:sz="8" w:space="0"/>
              <w:bottom w:val="single" w:color="000000" w:sz="8" w:space="0"/>
              <w:right w:val="nil"/>
            </w:tcBorders>
            <w:shd w:val="clear" w:color="auto" w:fill="auto"/>
            <w:vAlign w:val="center"/>
          </w:tcPr>
          <w:p w14:paraId="3DE6682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0225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62" w:type="dxa"/>
            <w:vMerge w:val="restart"/>
            <w:tcBorders>
              <w:top w:val="single" w:color="000000" w:sz="8" w:space="0"/>
              <w:left w:val="nil"/>
              <w:bottom w:val="single" w:color="000000" w:sz="8" w:space="0"/>
              <w:right w:val="single" w:color="000000" w:sz="8" w:space="0"/>
            </w:tcBorders>
            <w:shd w:val="clear" w:color="auto" w:fill="auto"/>
            <w:vAlign w:val="center"/>
          </w:tcPr>
          <w:p w14:paraId="647E920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可持续影响</w:t>
            </w:r>
          </w:p>
        </w:tc>
        <w:tc>
          <w:tcPr>
            <w:tcW w:w="2902" w:type="dxa"/>
            <w:tcBorders>
              <w:top w:val="single" w:color="000000" w:sz="4" w:space="0"/>
              <w:left w:val="single" w:color="000000" w:sz="4" w:space="0"/>
              <w:bottom w:val="nil"/>
              <w:right w:val="single" w:color="000000" w:sz="4" w:space="0"/>
            </w:tcBorders>
            <w:shd w:val="clear" w:color="auto" w:fill="auto"/>
            <w:vAlign w:val="center"/>
          </w:tcPr>
          <w:p w14:paraId="1BDBC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加强社会主义法制建设</w:t>
            </w:r>
          </w:p>
        </w:tc>
        <w:tc>
          <w:tcPr>
            <w:tcW w:w="7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252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72C9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AB3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6" w:type="dxa"/>
            <w:tcBorders>
              <w:top w:val="single" w:color="000000" w:sz="8" w:space="0"/>
              <w:left w:val="single" w:color="000000" w:sz="8" w:space="0"/>
              <w:bottom w:val="single" w:color="000000" w:sz="8" w:space="0"/>
              <w:right w:val="nil"/>
            </w:tcBorders>
            <w:shd w:val="clear" w:color="auto" w:fill="auto"/>
            <w:vAlign w:val="center"/>
          </w:tcPr>
          <w:p w14:paraId="4FE4F3D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5AB7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62" w:type="dxa"/>
            <w:vMerge w:val="continue"/>
            <w:tcBorders>
              <w:top w:val="single" w:color="000000" w:sz="8" w:space="0"/>
              <w:left w:val="nil"/>
              <w:bottom w:val="single" w:color="000000" w:sz="8" w:space="0"/>
              <w:right w:val="single" w:color="000000" w:sz="8" w:space="0"/>
            </w:tcBorders>
            <w:shd w:val="clear" w:color="auto" w:fill="auto"/>
            <w:vAlign w:val="center"/>
          </w:tcPr>
          <w:p w14:paraId="7E77663D">
            <w:pPr>
              <w:jc w:val="center"/>
              <w:rPr>
                <w:rFonts w:hint="eastAsia" w:ascii="仿宋" w:hAnsi="仿宋" w:eastAsia="仿宋" w:cs="仿宋"/>
                <w:i w:val="0"/>
                <w:iCs w:val="0"/>
                <w:color w:val="000000"/>
                <w:sz w:val="21"/>
                <w:szCs w:val="21"/>
                <w:u w:val="none"/>
              </w:rPr>
            </w:pPr>
          </w:p>
        </w:tc>
        <w:tc>
          <w:tcPr>
            <w:tcW w:w="2902" w:type="dxa"/>
            <w:tcBorders>
              <w:top w:val="single" w:color="000000" w:sz="4" w:space="0"/>
              <w:left w:val="single" w:color="000000" w:sz="4" w:space="0"/>
              <w:bottom w:val="nil"/>
              <w:right w:val="single" w:color="000000" w:sz="4" w:space="0"/>
            </w:tcBorders>
            <w:shd w:val="clear" w:color="auto" w:fill="auto"/>
            <w:vAlign w:val="center"/>
          </w:tcPr>
          <w:p w14:paraId="7CECC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健全办案保障机制</w:t>
            </w:r>
          </w:p>
        </w:tc>
        <w:tc>
          <w:tcPr>
            <w:tcW w:w="7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CDA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951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2C75A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6" w:type="dxa"/>
            <w:tcBorders>
              <w:top w:val="single" w:color="000000" w:sz="8" w:space="0"/>
              <w:left w:val="single" w:color="000000" w:sz="8" w:space="0"/>
              <w:bottom w:val="single" w:color="000000" w:sz="8" w:space="0"/>
              <w:right w:val="nil"/>
            </w:tcBorders>
            <w:shd w:val="clear" w:color="auto" w:fill="auto"/>
            <w:vAlign w:val="center"/>
          </w:tcPr>
          <w:p w14:paraId="7618CEA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1723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62" w:type="dxa"/>
            <w:tcBorders>
              <w:top w:val="single" w:color="000000" w:sz="8" w:space="0"/>
              <w:left w:val="nil"/>
              <w:bottom w:val="single" w:color="000000" w:sz="8" w:space="0"/>
              <w:right w:val="single" w:color="000000" w:sz="8" w:space="0"/>
            </w:tcBorders>
            <w:shd w:val="clear" w:color="auto" w:fill="auto"/>
            <w:vAlign w:val="center"/>
          </w:tcPr>
          <w:p w14:paraId="7A184D4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社会公众或服务对象满意度</w:t>
            </w:r>
          </w:p>
        </w:tc>
        <w:tc>
          <w:tcPr>
            <w:tcW w:w="29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FF39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办案人员满意度</w:t>
            </w:r>
          </w:p>
        </w:tc>
        <w:tc>
          <w:tcPr>
            <w:tcW w:w="7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C42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DB3A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5BC3F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56" w:type="dxa"/>
            <w:tcBorders>
              <w:top w:val="single" w:color="000000" w:sz="8" w:space="0"/>
              <w:left w:val="single" w:color="000000" w:sz="8" w:space="0"/>
              <w:bottom w:val="single" w:color="000000" w:sz="8" w:space="0"/>
              <w:right w:val="nil"/>
            </w:tcBorders>
            <w:shd w:val="clear" w:color="auto" w:fill="auto"/>
            <w:vAlign w:val="center"/>
          </w:tcPr>
          <w:p w14:paraId="6A2D36C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r w14:paraId="5605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464" w:type="dxa"/>
            <w:gridSpan w:val="2"/>
            <w:tcBorders>
              <w:top w:val="single" w:color="000000" w:sz="8" w:space="0"/>
              <w:left w:val="nil"/>
              <w:bottom w:val="single" w:color="000000" w:sz="12" w:space="0"/>
              <w:right w:val="single" w:color="000000" w:sz="8" w:space="0"/>
            </w:tcBorders>
            <w:shd w:val="clear" w:color="auto" w:fill="auto"/>
            <w:vAlign w:val="center"/>
          </w:tcPr>
          <w:p w14:paraId="28F32D3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效果指标得分合计</w:t>
            </w:r>
          </w:p>
        </w:tc>
        <w:tc>
          <w:tcPr>
            <w:tcW w:w="785"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1DAF08FA">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30</w:t>
            </w:r>
          </w:p>
        </w:tc>
        <w:tc>
          <w:tcPr>
            <w:tcW w:w="1179"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07FD4E2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29.65</w:t>
            </w:r>
          </w:p>
        </w:tc>
        <w:tc>
          <w:tcPr>
            <w:tcW w:w="1156"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0A7D095E">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98.33%</w:t>
            </w:r>
          </w:p>
        </w:tc>
        <w:tc>
          <w:tcPr>
            <w:tcW w:w="1156" w:type="dxa"/>
            <w:tcBorders>
              <w:top w:val="single" w:color="000000" w:sz="8" w:space="0"/>
              <w:left w:val="single" w:color="000000" w:sz="8" w:space="0"/>
              <w:bottom w:val="single" w:color="000000" w:sz="12" w:space="0"/>
              <w:right w:val="nil"/>
            </w:tcBorders>
            <w:shd w:val="clear" w:color="auto" w:fill="auto"/>
            <w:vAlign w:val="center"/>
          </w:tcPr>
          <w:p w14:paraId="327187A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r>
    </w:tbl>
    <w:p w14:paraId="2ACAB793">
      <w:pPr>
        <w:keepNext w:val="0"/>
        <w:keepLines w:val="0"/>
        <w:pageBreakBefore w:val="0"/>
        <w:widowControl w:val="0"/>
        <w:kinsoku/>
        <w:wordWrap/>
        <w:overflowPunct/>
        <w:topLinePunct w:val="0"/>
        <w:autoSpaceDE/>
        <w:autoSpaceDN/>
        <w:bidi w:val="0"/>
        <w:adjustRightInd w:val="0"/>
        <w:snapToGrid w:val="0"/>
        <w:spacing w:line="240" w:lineRule="auto"/>
        <w:ind w:firstLine="602"/>
        <w:textAlignment w:val="auto"/>
        <w:rPr>
          <w:rFonts w:hint="eastAsia"/>
          <w:b/>
          <w:bCs/>
        </w:rPr>
      </w:pPr>
    </w:p>
    <w:p w14:paraId="48EC4D9E">
      <w:pPr>
        <w:ind w:firstLine="602"/>
        <w:rPr>
          <w:rFonts w:hint="eastAsia"/>
          <w:b/>
          <w:bCs/>
          <w:sz w:val="32"/>
          <w:szCs w:val="32"/>
        </w:rPr>
      </w:pPr>
      <w:r>
        <w:rPr>
          <w:rFonts w:hint="eastAsia"/>
          <w:b/>
          <w:bCs/>
          <w:sz w:val="32"/>
          <w:szCs w:val="32"/>
        </w:rPr>
        <w:t>1.社会效益</w:t>
      </w:r>
    </w:p>
    <w:p w14:paraId="2B5593D4">
      <w:pPr>
        <w:bidi w:val="0"/>
        <w:rPr>
          <w:rFonts w:hint="eastAsia" w:ascii="Times New Roman" w:hAnsi="Times New Roman" w:cs="Times New Roman"/>
          <w:highlight w:val="none"/>
          <w:lang w:val="en-US" w:eastAsia="zh-CN"/>
        </w:rPr>
      </w:pPr>
      <w:r>
        <w:rPr>
          <w:rFonts w:hint="eastAsia" w:ascii="Times New Roman" w:hAnsi="Times New Roman" w:cs="Times New Roman"/>
          <w:lang w:val="en-US" w:eastAsia="zh-CN"/>
        </w:rPr>
        <w:t>（1）</w:t>
      </w:r>
      <w:r>
        <w:rPr>
          <w:rFonts w:hint="eastAsia" w:ascii="Times New Roman" w:hAnsi="Times New Roman" w:cs="Times New Roman"/>
          <w:highlight w:val="none"/>
          <w:lang w:val="en-US" w:eastAsia="zh-CN"/>
        </w:rPr>
        <w:t>全面提升干警综合素能</w:t>
      </w:r>
    </w:p>
    <w:p w14:paraId="19028F89">
      <w:pPr>
        <w:bidi w:val="0"/>
        <w:rPr>
          <w:rFonts w:hint="default" w:ascii="Times New Roman" w:hAnsi="Times New Roman" w:cs="Times New Roman"/>
          <w:lang w:val="en-US" w:eastAsia="zh-CN"/>
        </w:rPr>
      </w:pPr>
      <w:r>
        <w:rPr>
          <w:rFonts w:hint="eastAsia" w:ascii="Times New Roman" w:hAnsi="Times New Roman" w:cs="Times New Roman"/>
          <w:lang w:val="en-US" w:eastAsia="zh-CN"/>
        </w:rPr>
        <w:t>本效益指标根据满意度调查问卷进行评分，在对“您认为办案业务经费的支出对保障检察官队伍的稳定情况是否满意：”问题进行调查中</w:t>
      </w:r>
      <w:r>
        <w:rPr>
          <w:rFonts w:hint="eastAsia" w:cs="Times New Roman"/>
          <w:lang w:val="en-US" w:eastAsia="zh-CN"/>
        </w:rPr>
        <w:t>86.27</w:t>
      </w:r>
      <w:r>
        <w:rPr>
          <w:rFonts w:hint="eastAsia" w:ascii="Times New Roman" w:hAnsi="Times New Roman" w:cs="Times New Roman"/>
          <w:lang w:val="en-US" w:eastAsia="zh-CN"/>
        </w:rPr>
        <w:t>%的人认为非常满意，</w:t>
      </w:r>
      <w:r>
        <w:rPr>
          <w:rFonts w:hint="eastAsia" w:cs="Times New Roman"/>
          <w:lang w:val="en-US" w:eastAsia="zh-CN"/>
        </w:rPr>
        <w:t>13.73</w:t>
      </w:r>
      <w:r>
        <w:rPr>
          <w:rFonts w:hint="eastAsia" w:ascii="Times New Roman" w:hAnsi="Times New Roman" w:cs="Times New Roman"/>
          <w:lang w:val="en-US" w:eastAsia="zh-CN"/>
        </w:rPr>
        <w:t>%的人认为满意，</w:t>
      </w:r>
      <w:r>
        <w:rPr>
          <w:rFonts w:hint="eastAsia" w:cs="Times New Roman"/>
          <w:lang w:val="en-US" w:eastAsia="zh-CN"/>
        </w:rPr>
        <w:t>0</w:t>
      </w:r>
      <w:r>
        <w:rPr>
          <w:rFonts w:hint="eastAsia" w:ascii="Times New Roman" w:hAnsi="Times New Roman" w:cs="Times New Roman"/>
          <w:lang w:val="en-US" w:eastAsia="zh-CN"/>
        </w:rPr>
        <w:t>%的人认为一般，0%的人认为不满意。根据评分标准，（认为非常满意赋系数1×满意度百分比+认为满意的赋系数0.8×满意度百分比+认为一般赋系数0.6×满意度百分比+认为不满意赋系数0×满意度百分比）={（1×</w:t>
      </w:r>
      <w:r>
        <w:rPr>
          <w:rFonts w:hint="eastAsia" w:cs="Times New Roman"/>
          <w:lang w:val="en-US" w:eastAsia="zh-CN"/>
        </w:rPr>
        <w:t>86.27</w:t>
      </w:r>
      <w:r>
        <w:rPr>
          <w:rFonts w:hint="eastAsia" w:ascii="Times New Roman" w:hAnsi="Times New Roman" w:cs="Times New Roman"/>
          <w:lang w:val="en-US" w:eastAsia="zh-CN"/>
        </w:rPr>
        <w:t>%）+（0.80×</w:t>
      </w:r>
      <w:r>
        <w:rPr>
          <w:rFonts w:hint="eastAsia" w:cs="Times New Roman"/>
          <w:lang w:val="en-US" w:eastAsia="zh-CN"/>
        </w:rPr>
        <w:t>13.73</w:t>
      </w:r>
      <w:r>
        <w:rPr>
          <w:rFonts w:hint="eastAsia" w:ascii="Times New Roman" w:hAnsi="Times New Roman" w:cs="Times New Roman"/>
          <w:lang w:val="en-US" w:eastAsia="zh-CN"/>
        </w:rPr>
        <w:t>%）+（0.60×</w:t>
      </w:r>
      <w:r>
        <w:rPr>
          <w:rFonts w:hint="eastAsia" w:cs="Times New Roman"/>
          <w:lang w:val="en-US" w:eastAsia="zh-CN"/>
        </w:rPr>
        <w:t>0</w:t>
      </w:r>
      <w:r>
        <w:rPr>
          <w:rFonts w:hint="eastAsia" w:ascii="Times New Roman" w:hAnsi="Times New Roman" w:cs="Times New Roman"/>
          <w:lang w:val="en-US" w:eastAsia="zh-CN"/>
        </w:rPr>
        <w:t>%）+（0×0%）}×</w:t>
      </w:r>
      <w:r>
        <w:rPr>
          <w:rFonts w:hint="eastAsia" w:cs="Times New Roman"/>
          <w:lang w:val="en-US" w:eastAsia="zh-CN"/>
        </w:rPr>
        <w:t>6</w:t>
      </w:r>
      <w:r>
        <w:rPr>
          <w:rFonts w:hint="eastAsia" w:ascii="Times New Roman" w:hAnsi="Times New Roman" w:cs="Times New Roman"/>
          <w:lang w:val="en-US" w:eastAsia="zh-CN"/>
        </w:rPr>
        <w:t>=</w:t>
      </w:r>
      <w:r>
        <w:rPr>
          <w:rFonts w:hint="eastAsia" w:cs="Times New Roman"/>
          <w:lang w:val="en-US" w:eastAsia="zh-CN"/>
        </w:rPr>
        <w:t>4.86</w:t>
      </w:r>
      <w:r>
        <w:rPr>
          <w:rFonts w:hint="eastAsia" w:ascii="Times New Roman" w:hAnsi="Times New Roman" w:cs="Times New Roman"/>
          <w:lang w:val="en-US" w:eastAsia="zh-CN"/>
        </w:rPr>
        <w:t>。此项分值</w:t>
      </w:r>
      <w:r>
        <w:rPr>
          <w:rFonts w:hint="eastAsia" w:cs="Times New Roman"/>
          <w:lang w:val="en-US" w:eastAsia="zh-CN"/>
        </w:rPr>
        <w:t>6</w:t>
      </w:r>
      <w:r>
        <w:rPr>
          <w:rFonts w:hint="eastAsia" w:ascii="Times New Roman" w:hAnsi="Times New Roman" w:cs="Times New Roman"/>
          <w:lang w:val="en-US" w:eastAsia="zh-CN"/>
        </w:rPr>
        <w:t>分，根据实施效益，本指标评价得</w:t>
      </w:r>
      <w:r>
        <w:rPr>
          <w:rFonts w:hint="eastAsia" w:cs="Times New Roman"/>
          <w:lang w:val="en-US" w:eastAsia="zh-CN"/>
        </w:rPr>
        <w:t>5.84</w:t>
      </w:r>
      <w:r>
        <w:rPr>
          <w:rFonts w:hint="eastAsia" w:ascii="Times New Roman" w:hAnsi="Times New Roman" w:cs="Times New Roman"/>
          <w:lang w:val="en-US" w:eastAsia="zh-CN"/>
        </w:rPr>
        <w:t>分。</w:t>
      </w:r>
    </w:p>
    <w:p w14:paraId="7C48B0AC">
      <w:pPr>
        <w:bidi w:val="0"/>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cs="Times New Roman"/>
          <w:lang w:val="en-US" w:eastAsia="zh-CN"/>
        </w:rPr>
        <w:t>2</w:t>
      </w:r>
      <w:r>
        <w:rPr>
          <w:rFonts w:hint="eastAsia" w:ascii="Times New Roman" w:hAnsi="Times New Roman" w:cs="Times New Roman"/>
          <w:lang w:val="en-US" w:eastAsia="zh-CN"/>
        </w:rPr>
        <w:t>）提升办案效率</w:t>
      </w:r>
    </w:p>
    <w:p w14:paraId="57E5220A">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本效益指标根据满意度调查问卷进行评分，在对“您认为办案业务经费的支出对提升办案效率情况是否满意：”问题进行调查中</w:t>
      </w:r>
      <w:r>
        <w:rPr>
          <w:rFonts w:hint="eastAsia" w:cs="Times New Roman"/>
          <w:lang w:val="en-US" w:eastAsia="zh-CN"/>
        </w:rPr>
        <w:t>84.31</w:t>
      </w:r>
      <w:r>
        <w:rPr>
          <w:rFonts w:hint="eastAsia" w:ascii="Times New Roman" w:hAnsi="Times New Roman" w:cs="Times New Roman"/>
          <w:lang w:val="en-US" w:eastAsia="zh-CN"/>
        </w:rPr>
        <w:t>%的人认为非常满意，</w:t>
      </w:r>
      <w:r>
        <w:rPr>
          <w:rFonts w:hint="eastAsia" w:cs="Times New Roman"/>
          <w:lang w:val="en-US" w:eastAsia="zh-CN"/>
        </w:rPr>
        <w:t>15.69</w:t>
      </w:r>
      <w:r>
        <w:rPr>
          <w:rFonts w:hint="eastAsia" w:ascii="Times New Roman" w:hAnsi="Times New Roman" w:cs="Times New Roman"/>
          <w:lang w:val="en-US" w:eastAsia="zh-CN"/>
        </w:rPr>
        <w:t>%的人认为满意，</w:t>
      </w:r>
      <w:r>
        <w:rPr>
          <w:rFonts w:hint="eastAsia" w:cs="Times New Roman"/>
          <w:lang w:val="en-US" w:eastAsia="zh-CN"/>
        </w:rPr>
        <w:t>0</w:t>
      </w:r>
      <w:r>
        <w:rPr>
          <w:rFonts w:hint="eastAsia" w:ascii="Times New Roman" w:hAnsi="Times New Roman" w:cs="Times New Roman"/>
          <w:lang w:val="en-US" w:eastAsia="zh-CN"/>
        </w:rPr>
        <w:t>%的人认为一般，0%的人认为不满意。根据评分标准，（认为非常满意赋系数1×满意度百分比+认为满意的赋系数0.8×满意度百分比+认为一般赋系数0.6×满意度百分比+认为不满意赋系数0×满意度百分比）={（1×</w:t>
      </w:r>
      <w:r>
        <w:rPr>
          <w:rFonts w:hint="eastAsia" w:cs="Times New Roman"/>
          <w:lang w:val="en-US" w:eastAsia="zh-CN"/>
        </w:rPr>
        <w:t>84.31</w:t>
      </w:r>
      <w:r>
        <w:rPr>
          <w:rFonts w:hint="eastAsia" w:ascii="Times New Roman" w:hAnsi="Times New Roman" w:cs="Times New Roman"/>
          <w:lang w:val="en-US" w:eastAsia="zh-CN"/>
        </w:rPr>
        <w:t>%）+（0.80×</w:t>
      </w:r>
      <w:r>
        <w:rPr>
          <w:rFonts w:hint="eastAsia" w:cs="Times New Roman"/>
          <w:lang w:val="en-US" w:eastAsia="zh-CN"/>
        </w:rPr>
        <w:t>15.69</w:t>
      </w:r>
      <w:r>
        <w:rPr>
          <w:rFonts w:hint="eastAsia" w:ascii="Times New Roman" w:hAnsi="Times New Roman" w:cs="Times New Roman"/>
          <w:lang w:val="en-US" w:eastAsia="zh-CN"/>
        </w:rPr>
        <w:t>%）+（0×4.08%）+（0×0%）}×</w:t>
      </w:r>
      <w:r>
        <w:rPr>
          <w:rFonts w:hint="eastAsia" w:cs="Times New Roman"/>
          <w:lang w:val="en-US" w:eastAsia="zh-CN"/>
        </w:rPr>
        <w:t>6</w:t>
      </w:r>
      <w:r>
        <w:rPr>
          <w:rFonts w:hint="eastAsia" w:ascii="Times New Roman" w:hAnsi="Times New Roman" w:cs="Times New Roman"/>
          <w:lang w:val="en-US" w:eastAsia="zh-CN"/>
        </w:rPr>
        <w:t>=</w:t>
      </w:r>
      <w:r>
        <w:rPr>
          <w:rFonts w:hint="eastAsia" w:cs="Times New Roman"/>
          <w:lang w:val="en-US" w:eastAsia="zh-CN"/>
        </w:rPr>
        <w:t>5.81</w:t>
      </w:r>
      <w:r>
        <w:rPr>
          <w:rFonts w:hint="eastAsia" w:ascii="Times New Roman" w:hAnsi="Times New Roman" w:cs="Times New Roman"/>
          <w:lang w:val="en-US" w:eastAsia="zh-CN"/>
        </w:rPr>
        <w:t>。此项分值</w:t>
      </w:r>
      <w:r>
        <w:rPr>
          <w:rFonts w:hint="eastAsia" w:cs="Times New Roman"/>
          <w:lang w:val="en-US" w:eastAsia="zh-CN"/>
        </w:rPr>
        <w:t>6</w:t>
      </w:r>
      <w:r>
        <w:rPr>
          <w:rFonts w:hint="eastAsia" w:ascii="Times New Roman" w:hAnsi="Times New Roman" w:cs="Times New Roman"/>
          <w:lang w:val="en-US" w:eastAsia="zh-CN"/>
        </w:rPr>
        <w:t>分，根据实施效益，本指标评价得</w:t>
      </w:r>
      <w:r>
        <w:rPr>
          <w:rFonts w:hint="eastAsia" w:cs="Times New Roman"/>
          <w:lang w:val="en-US" w:eastAsia="zh-CN"/>
        </w:rPr>
        <w:t>5.81</w:t>
      </w:r>
      <w:r>
        <w:rPr>
          <w:rFonts w:hint="eastAsia" w:ascii="Times New Roman" w:hAnsi="Times New Roman" w:cs="Times New Roman"/>
          <w:lang w:val="en-US" w:eastAsia="zh-CN"/>
        </w:rPr>
        <w:t>分。</w:t>
      </w:r>
    </w:p>
    <w:p w14:paraId="7D263900">
      <w:pPr>
        <w:ind w:firstLine="602"/>
        <w:rPr>
          <w:rFonts w:hint="eastAsia"/>
          <w:b/>
          <w:bCs/>
          <w:sz w:val="32"/>
          <w:szCs w:val="32"/>
        </w:rPr>
      </w:pPr>
      <w:r>
        <w:rPr>
          <w:rFonts w:hint="eastAsia"/>
          <w:b/>
          <w:bCs/>
          <w:sz w:val="32"/>
          <w:szCs w:val="32"/>
          <w:lang w:val="en-US" w:eastAsia="zh-CN"/>
        </w:rPr>
        <w:t>2</w:t>
      </w:r>
      <w:r>
        <w:rPr>
          <w:rFonts w:hint="eastAsia"/>
          <w:b/>
          <w:bCs/>
          <w:sz w:val="32"/>
          <w:szCs w:val="32"/>
        </w:rPr>
        <w:t>.可持续影响</w:t>
      </w:r>
    </w:p>
    <w:p w14:paraId="66D897FC">
      <w:pPr>
        <w:bidi w:val="0"/>
        <w:rPr>
          <w:rFonts w:hint="eastAsia" w:ascii="Times New Roman" w:hAnsi="Times New Roman" w:cs="Times New Roman"/>
          <w:lang w:val="en-US" w:eastAsia="zh-CN"/>
        </w:rPr>
      </w:pPr>
      <w:r>
        <w:rPr>
          <w:rFonts w:hint="eastAsia" w:ascii="Times New Roman" w:hAnsi="Times New Roman" w:cs="Times New Roman"/>
          <w:lang w:val="en-US" w:eastAsia="zh-CN"/>
        </w:rPr>
        <w:t>（1）加强社会主义法制建设</w:t>
      </w:r>
    </w:p>
    <w:p w14:paraId="32A69885">
      <w:pPr>
        <w:bidi w:val="0"/>
        <w:rPr>
          <w:rFonts w:hint="eastAsia" w:ascii="Times New Roman" w:hAnsi="Times New Roman" w:cs="Times New Roman"/>
          <w:highlight w:val="none"/>
          <w:lang w:val="en-US" w:eastAsia="zh-CN"/>
        </w:rPr>
      </w:pPr>
      <w:r>
        <w:rPr>
          <w:rFonts w:hint="eastAsia" w:ascii="Times New Roman" w:hAnsi="Times New Roman" w:eastAsia="仿宋_GB2312" w:cs="Times New Roman"/>
          <w:b w:val="0"/>
          <w:i w:val="0"/>
          <w:caps w:val="0"/>
          <w:spacing w:val="0"/>
          <w:w w:val="100"/>
          <w:kern w:val="2"/>
          <w:sz w:val="32"/>
          <w:szCs w:val="32"/>
          <w:lang w:val="en-US" w:eastAsia="zh-CN" w:bidi="ar-SA"/>
        </w:rPr>
        <w:t>深入落实《中共中央关于加强新时代检察机关法律监督工作的意见》，抓好常规检察业务和综合工作，继续保持向上态势，积极适应新形势新任务，转变监督理念，重点攻坚数字检察、三查融合、检察侦查等工作，以现代化手段赋能专业化履职。</w:t>
      </w:r>
      <w:r>
        <w:rPr>
          <w:rFonts w:hint="eastAsia" w:ascii="仿宋_GB2312" w:hAnsi="宋体" w:eastAsia="仿宋_GB2312" w:cs="宋体"/>
          <w:color w:val="auto"/>
          <w:sz w:val="32"/>
          <w:szCs w:val="32"/>
          <w:lang w:val="en-US" w:eastAsia="zh-CN"/>
        </w:rPr>
        <w:t>持续推动“离退休检察官服务企业工作室”和“优化法治化营商环境帮帮团”小程序运用，依托政法系统党建联盟开展“协同护企 法律助企”优化营商环境 助力企业，高质量发展活动。全力纾解群众急难愁盼。践行新时代“枫桥经验”，特派员额团队分别包联苏木乡镇，下沉检力，与其他部门形成合力，共同化解基层矛盾，促进诉源治理。</w:t>
      </w:r>
      <w:r>
        <w:rPr>
          <w:rFonts w:hint="eastAsia" w:ascii="Times New Roman" w:hAnsi="Times New Roman" w:cs="Times New Roman"/>
          <w:lang w:val="en-US" w:eastAsia="zh-CN"/>
        </w:rPr>
        <w:t>此项分值6分，根据具体实施</w:t>
      </w:r>
      <w:r>
        <w:rPr>
          <w:rFonts w:hint="eastAsia" w:ascii="Times New Roman" w:hAnsi="Times New Roman" w:cs="Times New Roman"/>
          <w:highlight w:val="none"/>
          <w:lang w:val="en-US" w:eastAsia="zh-CN"/>
        </w:rPr>
        <w:t>效益情况，本指标评价得6分。</w:t>
      </w:r>
    </w:p>
    <w:p w14:paraId="18BE85AD">
      <w:pPr>
        <w:bidi w:val="0"/>
        <w:ind w:left="0" w:leftChars="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（2）健全办案保障机制</w:t>
      </w:r>
    </w:p>
    <w:p w14:paraId="3049680C">
      <w:pPr>
        <w:bidi w:val="0"/>
        <w:rPr>
          <w:rFonts w:hint="eastAsia" w:ascii="Times New Roman" w:hAnsi="Times New Roman" w:cs="Times New Roman"/>
          <w:lang w:val="en-US" w:eastAsia="zh-CN"/>
        </w:rPr>
      </w:pPr>
      <w:r>
        <w:rPr>
          <w:rFonts w:hint="eastAsia" w:ascii="Times New Roman" w:hAnsi="Times New Roman" w:cs="Times New Roman"/>
          <w:lang w:val="en-US" w:eastAsia="zh-CN"/>
        </w:rPr>
        <w:t>检察院办案业务经费的合理支出对检察院</w:t>
      </w:r>
      <w:r>
        <w:rPr>
          <w:rFonts w:hint="eastAsia" w:ascii="Times New Roman" w:hAnsi="Times New Roman" w:cs="Times New Roman"/>
          <w:highlight w:val="none"/>
          <w:lang w:val="en-US" w:eastAsia="zh-CN"/>
        </w:rPr>
        <w:t>健全办案保障机制</w:t>
      </w:r>
      <w:r>
        <w:rPr>
          <w:rFonts w:hint="eastAsia" w:ascii="Times New Roman" w:hAnsi="Times New Roman" w:cs="Times New Roman"/>
          <w:lang w:val="en-US" w:eastAsia="zh-CN"/>
        </w:rPr>
        <w:t>具有重要的影响。通过加强经费管理和优化使用，检察院可以</w:t>
      </w:r>
      <w:r>
        <w:rPr>
          <w:rFonts w:hint="eastAsia" w:cs="Times New Roman"/>
          <w:lang w:val="en-US" w:eastAsia="zh-CN"/>
        </w:rPr>
        <w:t>有效</w:t>
      </w:r>
      <w:r>
        <w:rPr>
          <w:rFonts w:hint="eastAsia" w:ascii="Times New Roman" w:hAnsi="Times New Roman" w:cs="Times New Roman"/>
          <w:highlight w:val="none"/>
          <w:lang w:val="en-US" w:eastAsia="zh-CN"/>
        </w:rPr>
        <w:t>健全办案保障机制</w:t>
      </w:r>
      <w:r>
        <w:rPr>
          <w:rFonts w:hint="eastAsia" w:ascii="Times New Roman" w:hAnsi="Times New Roman" w:cs="Times New Roman"/>
          <w:lang w:val="en-US" w:eastAsia="zh-CN"/>
        </w:rPr>
        <w:t>，更好地履行法律监督职责，加强查办案件工作的协调力度，充分调动各专项工作牵头部门的积极性，形成工作的整体合力。此项分值</w:t>
      </w:r>
      <w:r>
        <w:rPr>
          <w:rFonts w:hint="eastAsia" w:cs="Times New Roman"/>
          <w:lang w:val="en-US" w:eastAsia="zh-CN"/>
        </w:rPr>
        <w:t>6</w:t>
      </w:r>
      <w:r>
        <w:rPr>
          <w:rFonts w:hint="eastAsia" w:ascii="Times New Roman" w:hAnsi="Times New Roman" w:cs="Times New Roman"/>
          <w:lang w:val="en-US" w:eastAsia="zh-CN"/>
        </w:rPr>
        <w:t>分，根据具体实施效益情况，本指标评价得</w:t>
      </w:r>
      <w:r>
        <w:rPr>
          <w:rFonts w:hint="eastAsia" w:cs="Times New Roman"/>
          <w:lang w:val="en-US" w:eastAsia="zh-CN"/>
        </w:rPr>
        <w:t>6</w:t>
      </w:r>
      <w:r>
        <w:rPr>
          <w:rFonts w:hint="eastAsia" w:ascii="Times New Roman" w:hAnsi="Times New Roman" w:cs="Times New Roman"/>
          <w:lang w:val="en-US" w:eastAsia="zh-CN"/>
        </w:rPr>
        <w:t>分。</w:t>
      </w:r>
    </w:p>
    <w:p w14:paraId="176A8ACA">
      <w:pPr>
        <w:ind w:firstLine="602"/>
        <w:rPr>
          <w:rFonts w:hint="eastAsia"/>
          <w:b/>
          <w:bCs/>
          <w:sz w:val="32"/>
          <w:szCs w:val="32"/>
          <w:lang w:val="en-US" w:eastAsia="zh-CN"/>
        </w:rPr>
      </w:pPr>
      <w:r>
        <w:rPr>
          <w:rFonts w:hint="eastAsia"/>
          <w:b/>
          <w:bCs/>
          <w:sz w:val="32"/>
          <w:szCs w:val="32"/>
          <w:lang w:val="en-US" w:eastAsia="zh-CN"/>
        </w:rPr>
        <w:t>3.满意度</w:t>
      </w:r>
    </w:p>
    <w:p w14:paraId="337E17FE">
      <w:pPr>
        <w:bidi w:val="0"/>
        <w:rPr>
          <w:rFonts w:hint="eastAsia" w:ascii="Times New Roman" w:hAnsi="Times New Roman" w:cs="Times New Roman"/>
          <w:lang w:val="en-US" w:eastAsia="zh-CN"/>
        </w:rPr>
      </w:pPr>
      <w:r>
        <w:rPr>
          <w:rFonts w:hint="eastAsia" w:ascii="Times New Roman" w:hAnsi="Times New Roman" w:cs="Times New Roman"/>
          <w:lang w:val="en-US" w:eastAsia="zh-CN"/>
        </w:rPr>
        <w:t>（1）办案人员满意度</w:t>
      </w:r>
    </w:p>
    <w:p w14:paraId="6F99CDF3">
      <w:pPr>
        <w:pStyle w:val="20"/>
        <w:spacing w:beforeAutospacing="0" w:afterAutospacing="0" w:line="500" w:lineRule="exact"/>
        <w:ind w:firstLine="482"/>
        <w:jc w:val="center"/>
        <w:rPr>
          <w:rFonts w:hint="eastAsia" w:ascii="仿宋" w:hAnsi="仿宋" w:eastAsia="仿宋" w:cs="仿宋"/>
          <w:b/>
          <w:lang w:val="en-US" w:eastAsia="zh-CN" w:bidi="ar"/>
        </w:rPr>
      </w:pPr>
      <w:r>
        <w:rPr>
          <w:rFonts w:hint="eastAsia" w:ascii="仿宋" w:hAnsi="仿宋" w:eastAsia="仿宋" w:cs="仿宋"/>
          <w:b/>
          <w:lang w:val="en-US" w:eastAsia="zh-CN" w:bidi="ar"/>
        </w:rPr>
        <w:t>表4-4-1办案人员满意度调查情况</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2"/>
        <w:gridCol w:w="1201"/>
        <w:gridCol w:w="1027"/>
        <w:gridCol w:w="923"/>
        <w:gridCol w:w="1025"/>
      </w:tblGrid>
      <w:tr w14:paraId="743C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2666" w:type="pct"/>
            <w:shd w:val="clear" w:color="auto" w:fill="D7D7D7" w:themeFill="background1" w:themeFillShade="D8"/>
            <w:noWrap/>
            <w:vAlign w:val="center"/>
          </w:tcPr>
          <w:p w14:paraId="1903629E">
            <w:pPr>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cs="仿宋"/>
                <w:b/>
                <w:bCs/>
                <w:color w:val="000000"/>
                <w:sz w:val="22"/>
                <w:szCs w:val="22"/>
              </w:rPr>
            </w:pPr>
            <w:r>
              <w:rPr>
                <w:rFonts w:hint="eastAsia" w:ascii="仿宋" w:hAnsi="仿宋" w:eastAsia="仿宋" w:cs="仿宋"/>
                <w:b/>
                <w:bCs/>
                <w:color w:val="000000"/>
                <w:sz w:val="22"/>
                <w:szCs w:val="22"/>
              </w:rPr>
              <w:t>调查问题</w:t>
            </w:r>
          </w:p>
        </w:tc>
        <w:tc>
          <w:tcPr>
            <w:tcW w:w="671" w:type="pct"/>
            <w:shd w:val="clear" w:color="auto" w:fill="D7D7D7" w:themeFill="background1" w:themeFillShade="D8"/>
            <w:noWrap/>
            <w:vAlign w:val="center"/>
          </w:tcPr>
          <w:p w14:paraId="357AED07">
            <w:pPr>
              <w:keepNext w:val="0"/>
              <w:keepLines w:val="0"/>
              <w:widowControl/>
              <w:suppressLineNumbers w:val="0"/>
              <w:spacing w:before="0" w:beforeAutospacing="0" w:after="0" w:afterAutospacing="0" w:line="400" w:lineRule="exact"/>
              <w:ind w:left="0" w:right="0" w:firstLine="0" w:firstLineChars="0"/>
              <w:jc w:val="center"/>
              <w:textAlignment w:val="center"/>
              <w:rPr>
                <w:rFonts w:hint="default" w:ascii="仿宋" w:hAnsi="仿宋" w:eastAsia="仿宋" w:cs="仿宋"/>
                <w:b/>
                <w:bCs/>
                <w:color w:val="000000"/>
                <w:sz w:val="22"/>
                <w:szCs w:val="22"/>
              </w:rPr>
            </w:pPr>
            <w:r>
              <w:rPr>
                <w:rFonts w:hint="eastAsia" w:ascii="仿宋" w:hAnsi="仿宋" w:eastAsia="仿宋" w:cs="仿宋"/>
                <w:b/>
                <w:bCs/>
                <w:color w:val="000000"/>
                <w:kern w:val="0"/>
                <w:sz w:val="22"/>
                <w:szCs w:val="22"/>
                <w:lang w:bidi="ar"/>
              </w:rPr>
              <w:t>非常满意</w:t>
            </w:r>
          </w:p>
        </w:tc>
        <w:tc>
          <w:tcPr>
            <w:tcW w:w="573" w:type="pct"/>
            <w:shd w:val="clear" w:color="auto" w:fill="D7D7D7" w:themeFill="background1" w:themeFillShade="D8"/>
            <w:noWrap/>
            <w:vAlign w:val="center"/>
          </w:tcPr>
          <w:p w14:paraId="39E1218A">
            <w:pPr>
              <w:keepNext w:val="0"/>
              <w:keepLines w:val="0"/>
              <w:widowControl/>
              <w:suppressLineNumbers w:val="0"/>
              <w:spacing w:before="0" w:beforeAutospacing="0" w:after="0" w:afterAutospacing="0" w:line="400" w:lineRule="exact"/>
              <w:ind w:left="0" w:right="0" w:firstLine="0" w:firstLineChars="0"/>
              <w:jc w:val="center"/>
              <w:textAlignment w:val="center"/>
              <w:rPr>
                <w:rFonts w:hint="default" w:ascii="仿宋" w:hAnsi="仿宋" w:eastAsia="仿宋" w:cs="仿宋"/>
                <w:b/>
                <w:bCs/>
                <w:color w:val="000000"/>
                <w:sz w:val="22"/>
                <w:szCs w:val="22"/>
              </w:rPr>
            </w:pPr>
            <w:r>
              <w:rPr>
                <w:rFonts w:hint="eastAsia" w:ascii="仿宋" w:hAnsi="仿宋" w:eastAsia="仿宋" w:cs="仿宋"/>
                <w:b/>
                <w:bCs/>
                <w:color w:val="000000"/>
                <w:kern w:val="0"/>
                <w:sz w:val="22"/>
                <w:szCs w:val="22"/>
                <w:lang w:bidi="ar"/>
              </w:rPr>
              <w:t>满意</w:t>
            </w:r>
          </w:p>
        </w:tc>
        <w:tc>
          <w:tcPr>
            <w:tcW w:w="515" w:type="pct"/>
            <w:shd w:val="clear" w:color="auto" w:fill="D7D7D7" w:themeFill="background1" w:themeFillShade="D8"/>
            <w:noWrap/>
            <w:vAlign w:val="center"/>
          </w:tcPr>
          <w:p w14:paraId="728C5784">
            <w:pPr>
              <w:keepNext w:val="0"/>
              <w:keepLines w:val="0"/>
              <w:widowControl/>
              <w:suppressLineNumbers w:val="0"/>
              <w:spacing w:before="0" w:beforeAutospacing="0" w:after="0" w:afterAutospacing="0" w:line="400" w:lineRule="exact"/>
              <w:ind w:left="0" w:right="0" w:firstLine="0" w:firstLineChars="0"/>
              <w:jc w:val="center"/>
              <w:textAlignment w:val="center"/>
              <w:rPr>
                <w:rFonts w:hint="default" w:ascii="仿宋" w:hAnsi="仿宋" w:eastAsia="仿宋" w:cs="仿宋"/>
                <w:b/>
                <w:bCs/>
                <w:color w:val="000000"/>
                <w:sz w:val="22"/>
                <w:szCs w:val="22"/>
              </w:rPr>
            </w:pPr>
            <w:r>
              <w:rPr>
                <w:rFonts w:hint="eastAsia" w:ascii="仿宋" w:hAnsi="仿宋" w:eastAsia="仿宋" w:cs="仿宋"/>
                <w:b/>
                <w:bCs/>
                <w:color w:val="000000"/>
                <w:kern w:val="0"/>
                <w:sz w:val="22"/>
                <w:szCs w:val="22"/>
                <w:lang w:bidi="ar"/>
              </w:rPr>
              <w:t>一般</w:t>
            </w:r>
          </w:p>
        </w:tc>
        <w:tc>
          <w:tcPr>
            <w:tcW w:w="572" w:type="pct"/>
            <w:shd w:val="clear" w:color="auto" w:fill="D7D7D7" w:themeFill="background1" w:themeFillShade="D8"/>
            <w:noWrap/>
            <w:vAlign w:val="center"/>
          </w:tcPr>
          <w:p w14:paraId="2571F624">
            <w:pPr>
              <w:keepNext w:val="0"/>
              <w:keepLines w:val="0"/>
              <w:widowControl/>
              <w:suppressLineNumbers w:val="0"/>
              <w:spacing w:before="0" w:beforeAutospacing="0" w:after="0" w:afterAutospacing="0" w:line="400" w:lineRule="exact"/>
              <w:ind w:left="0" w:right="0" w:firstLine="0" w:firstLineChars="0"/>
              <w:jc w:val="center"/>
              <w:textAlignment w:val="center"/>
              <w:rPr>
                <w:rFonts w:hint="default" w:ascii="仿宋" w:hAnsi="仿宋" w:eastAsia="仿宋" w:cs="仿宋"/>
                <w:b/>
                <w:bCs/>
                <w:color w:val="000000"/>
                <w:sz w:val="22"/>
                <w:szCs w:val="22"/>
              </w:rPr>
            </w:pPr>
            <w:r>
              <w:rPr>
                <w:rFonts w:hint="eastAsia" w:ascii="仿宋" w:hAnsi="仿宋" w:eastAsia="仿宋" w:cs="仿宋"/>
                <w:b/>
                <w:bCs/>
                <w:color w:val="000000"/>
                <w:kern w:val="0"/>
                <w:sz w:val="22"/>
                <w:szCs w:val="22"/>
                <w:lang w:bidi="ar"/>
              </w:rPr>
              <w:t>不满意</w:t>
            </w:r>
          </w:p>
        </w:tc>
      </w:tr>
      <w:tr w14:paraId="1809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666" w:type="pct"/>
            <w:shd w:val="clear" w:color="auto" w:fill="auto"/>
            <w:noWrap/>
            <w:vAlign w:val="center"/>
          </w:tcPr>
          <w:p w14:paraId="211E65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000000"/>
                <w:kern w:val="0"/>
                <w:sz w:val="22"/>
                <w:szCs w:val="22"/>
                <w:lang w:eastAsia="zh-CN" w:bidi="ar"/>
              </w:rPr>
            </w:pPr>
            <w:r>
              <w:rPr>
                <w:rFonts w:hint="eastAsia" w:ascii="仿宋" w:hAnsi="仿宋" w:eastAsia="仿宋" w:cs="仿宋"/>
                <w:i w:val="0"/>
                <w:iCs w:val="0"/>
                <w:color w:val="000000"/>
                <w:kern w:val="0"/>
                <w:sz w:val="22"/>
                <w:szCs w:val="22"/>
                <w:u w:val="none"/>
                <w:lang w:val="en-US" w:eastAsia="zh-CN" w:bidi="ar"/>
              </w:rPr>
              <w:t>您认为办案业务经费的支出对保障检察官队伍的稳定情况是否满意：</w:t>
            </w:r>
          </w:p>
        </w:tc>
        <w:tc>
          <w:tcPr>
            <w:tcW w:w="671" w:type="pct"/>
            <w:shd w:val="clear" w:color="auto" w:fill="auto"/>
            <w:noWrap/>
            <w:vAlign w:val="center"/>
          </w:tcPr>
          <w:p w14:paraId="773742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86.27%</w:t>
            </w:r>
          </w:p>
        </w:tc>
        <w:tc>
          <w:tcPr>
            <w:tcW w:w="573" w:type="pct"/>
            <w:shd w:val="clear" w:color="auto" w:fill="auto"/>
            <w:noWrap/>
            <w:vAlign w:val="center"/>
          </w:tcPr>
          <w:p w14:paraId="46FF95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13.73%</w:t>
            </w:r>
          </w:p>
        </w:tc>
        <w:tc>
          <w:tcPr>
            <w:tcW w:w="515" w:type="pct"/>
            <w:shd w:val="clear" w:color="auto" w:fill="auto"/>
            <w:noWrap/>
            <w:vAlign w:val="center"/>
          </w:tcPr>
          <w:p w14:paraId="348A0F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0.00%</w:t>
            </w:r>
          </w:p>
        </w:tc>
        <w:tc>
          <w:tcPr>
            <w:tcW w:w="572" w:type="pct"/>
            <w:shd w:val="clear" w:color="auto" w:fill="auto"/>
            <w:noWrap/>
            <w:vAlign w:val="center"/>
          </w:tcPr>
          <w:p w14:paraId="4CB4D4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0.00%</w:t>
            </w:r>
          </w:p>
        </w:tc>
      </w:tr>
      <w:tr w14:paraId="73EB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666" w:type="pct"/>
            <w:shd w:val="clear" w:color="auto" w:fill="auto"/>
            <w:noWrap/>
            <w:vAlign w:val="center"/>
          </w:tcPr>
          <w:p w14:paraId="39853F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您认为办案业务经费的支出对提升办案质量情况是否满意：</w:t>
            </w:r>
          </w:p>
        </w:tc>
        <w:tc>
          <w:tcPr>
            <w:tcW w:w="671" w:type="pct"/>
            <w:shd w:val="clear" w:color="auto" w:fill="auto"/>
            <w:noWrap/>
            <w:vAlign w:val="center"/>
          </w:tcPr>
          <w:p w14:paraId="7D4EDB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84.31%</w:t>
            </w:r>
          </w:p>
        </w:tc>
        <w:tc>
          <w:tcPr>
            <w:tcW w:w="573" w:type="pct"/>
            <w:shd w:val="clear" w:color="auto" w:fill="auto"/>
            <w:noWrap/>
            <w:vAlign w:val="center"/>
          </w:tcPr>
          <w:p w14:paraId="5FADDE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15.69%</w:t>
            </w:r>
          </w:p>
        </w:tc>
        <w:tc>
          <w:tcPr>
            <w:tcW w:w="515" w:type="pct"/>
            <w:shd w:val="clear" w:color="auto" w:fill="auto"/>
            <w:noWrap/>
            <w:vAlign w:val="center"/>
          </w:tcPr>
          <w:p w14:paraId="7F6B30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0.00%</w:t>
            </w:r>
          </w:p>
        </w:tc>
        <w:tc>
          <w:tcPr>
            <w:tcW w:w="572" w:type="pct"/>
            <w:shd w:val="clear" w:color="auto" w:fill="auto"/>
            <w:noWrap/>
            <w:vAlign w:val="center"/>
          </w:tcPr>
          <w:p w14:paraId="59E285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0.00%</w:t>
            </w:r>
          </w:p>
        </w:tc>
      </w:tr>
      <w:tr w14:paraId="0474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666" w:type="pct"/>
            <w:shd w:val="clear" w:color="auto" w:fill="auto"/>
            <w:noWrap/>
            <w:vAlign w:val="center"/>
          </w:tcPr>
          <w:p w14:paraId="22F9F1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您认为办案业务经费的支出对提升办案效率情况是否满意：</w:t>
            </w:r>
          </w:p>
        </w:tc>
        <w:tc>
          <w:tcPr>
            <w:tcW w:w="671" w:type="pct"/>
            <w:shd w:val="clear" w:color="auto" w:fill="auto"/>
            <w:noWrap/>
            <w:vAlign w:val="center"/>
          </w:tcPr>
          <w:p w14:paraId="49A4C4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84.31%</w:t>
            </w:r>
          </w:p>
        </w:tc>
        <w:tc>
          <w:tcPr>
            <w:tcW w:w="573" w:type="pct"/>
            <w:shd w:val="clear" w:color="auto" w:fill="auto"/>
            <w:noWrap/>
            <w:vAlign w:val="center"/>
          </w:tcPr>
          <w:p w14:paraId="01D8EC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15.69%</w:t>
            </w:r>
          </w:p>
        </w:tc>
        <w:tc>
          <w:tcPr>
            <w:tcW w:w="515" w:type="pct"/>
            <w:shd w:val="clear" w:color="auto" w:fill="auto"/>
            <w:noWrap/>
            <w:vAlign w:val="center"/>
          </w:tcPr>
          <w:p w14:paraId="04E9AE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0.00%</w:t>
            </w:r>
          </w:p>
        </w:tc>
        <w:tc>
          <w:tcPr>
            <w:tcW w:w="572" w:type="pct"/>
            <w:shd w:val="clear" w:color="auto" w:fill="auto"/>
            <w:noWrap/>
            <w:vAlign w:val="center"/>
          </w:tcPr>
          <w:p w14:paraId="522736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0.00%</w:t>
            </w:r>
          </w:p>
        </w:tc>
      </w:tr>
      <w:tr w14:paraId="69E6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6" w:type="pct"/>
            <w:shd w:val="clear" w:color="auto" w:fill="auto"/>
            <w:noWrap/>
            <w:vAlign w:val="center"/>
          </w:tcPr>
          <w:p w14:paraId="1BDF70EA">
            <w:pPr>
              <w:keepNext w:val="0"/>
              <w:keepLines w:val="0"/>
              <w:widowControl/>
              <w:suppressLineNumbers w:val="0"/>
              <w:spacing w:before="0" w:beforeAutospacing="0" w:after="0" w:afterAutospacing="0" w:line="400" w:lineRule="exact"/>
              <w:ind w:left="0" w:right="0" w:firstLine="0" w:firstLineChar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b/>
                <w:bCs/>
                <w:color w:val="000000"/>
                <w:kern w:val="0"/>
                <w:sz w:val="22"/>
                <w:szCs w:val="22"/>
                <w:lang w:bidi="ar"/>
              </w:rPr>
              <w:t>统计满意度</w:t>
            </w:r>
          </w:p>
        </w:tc>
        <w:tc>
          <w:tcPr>
            <w:tcW w:w="671" w:type="pct"/>
            <w:shd w:val="clear" w:color="auto" w:fill="auto"/>
            <w:noWrap/>
            <w:vAlign w:val="center"/>
          </w:tcPr>
          <w:p w14:paraId="3D08C6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b/>
                <w:bCs/>
                <w:i w:val="0"/>
                <w:iCs w:val="0"/>
                <w:color w:val="000000"/>
                <w:kern w:val="0"/>
                <w:sz w:val="22"/>
                <w:szCs w:val="22"/>
                <w:u w:val="none"/>
                <w:lang w:val="en-US" w:eastAsia="zh-CN" w:bidi="ar"/>
              </w:rPr>
              <w:t>84.96%</w:t>
            </w:r>
          </w:p>
        </w:tc>
        <w:tc>
          <w:tcPr>
            <w:tcW w:w="573" w:type="pct"/>
            <w:shd w:val="clear" w:color="auto" w:fill="auto"/>
            <w:noWrap/>
            <w:vAlign w:val="center"/>
          </w:tcPr>
          <w:p w14:paraId="7AA132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b/>
                <w:bCs/>
                <w:i w:val="0"/>
                <w:iCs w:val="0"/>
                <w:color w:val="000000"/>
                <w:kern w:val="0"/>
                <w:sz w:val="22"/>
                <w:szCs w:val="22"/>
                <w:u w:val="none"/>
                <w:lang w:val="en-US" w:eastAsia="zh-CN" w:bidi="ar"/>
              </w:rPr>
              <w:t>15.04%</w:t>
            </w:r>
          </w:p>
        </w:tc>
        <w:tc>
          <w:tcPr>
            <w:tcW w:w="515" w:type="pct"/>
            <w:shd w:val="clear" w:color="auto" w:fill="auto"/>
            <w:noWrap/>
            <w:vAlign w:val="center"/>
          </w:tcPr>
          <w:p w14:paraId="62593D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b/>
                <w:bCs/>
                <w:i w:val="0"/>
                <w:iCs w:val="0"/>
                <w:color w:val="000000"/>
                <w:kern w:val="0"/>
                <w:sz w:val="22"/>
                <w:szCs w:val="22"/>
                <w:u w:val="none"/>
                <w:lang w:val="en-US" w:eastAsia="zh-CN" w:bidi="ar"/>
              </w:rPr>
              <w:t>0.00%</w:t>
            </w:r>
          </w:p>
        </w:tc>
        <w:tc>
          <w:tcPr>
            <w:tcW w:w="572" w:type="pct"/>
            <w:shd w:val="clear" w:color="auto" w:fill="auto"/>
            <w:noWrap/>
            <w:vAlign w:val="center"/>
          </w:tcPr>
          <w:p w14:paraId="1F60AA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b/>
                <w:bCs/>
                <w:i w:val="0"/>
                <w:iCs w:val="0"/>
                <w:color w:val="000000"/>
                <w:kern w:val="0"/>
                <w:sz w:val="22"/>
                <w:szCs w:val="22"/>
                <w:u w:val="none"/>
                <w:lang w:val="en-US" w:eastAsia="zh-CN" w:bidi="ar"/>
              </w:rPr>
              <w:t>0.00%</w:t>
            </w:r>
          </w:p>
        </w:tc>
      </w:tr>
    </w:tbl>
    <w:p w14:paraId="3A516784">
      <w:pPr>
        <w:keepNext w:val="0"/>
        <w:keepLines w:val="0"/>
        <w:pageBreakBefore w:val="0"/>
        <w:widowControl w:val="0"/>
        <w:kinsoku/>
        <w:wordWrap/>
        <w:overflowPunct/>
        <w:topLinePunct w:val="0"/>
        <w:autoSpaceDE/>
        <w:autoSpaceDN/>
        <w:bidi w:val="0"/>
        <w:adjustRightInd w:val="0"/>
        <w:snapToGrid w:val="0"/>
        <w:spacing w:line="24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p>
    <w:p w14:paraId="6DC7352F">
      <w:pPr>
        <w:bidi w:val="0"/>
        <w:rPr>
          <w:rFonts w:hint="default" w:ascii="Times New Roman" w:hAnsi="Times New Roman" w:cs="Times New Roman"/>
          <w:lang w:val="en-US" w:eastAsia="zh-CN"/>
        </w:rPr>
      </w:pPr>
      <w:r>
        <w:rPr>
          <w:rFonts w:hint="eastAsia" w:ascii="Times New Roman" w:hAnsi="Times New Roman" w:cs="Times New Roman"/>
          <w:lang w:val="en-US" w:eastAsia="zh-CN"/>
        </w:rPr>
        <w:t>根据评分标准，（认为非常满意赋系数1×满意度百分比+认为满意的赋系数0.8×满意度百分比+认为一般赋系数0.6×满意度百分比+认为不满意赋系数0×满意度百分比）=（1×</w:t>
      </w:r>
      <w:r>
        <w:rPr>
          <w:rFonts w:hint="eastAsia" w:cs="Times New Roman"/>
          <w:lang w:val="en-US" w:eastAsia="zh-CN"/>
        </w:rPr>
        <w:t>84.96</w:t>
      </w:r>
      <w:r>
        <w:rPr>
          <w:rFonts w:hint="eastAsia" w:ascii="Times New Roman" w:hAnsi="Times New Roman" w:cs="Times New Roman"/>
          <w:lang w:val="en-US" w:eastAsia="zh-CN"/>
        </w:rPr>
        <w:t>%）+（0.80×</w:t>
      </w:r>
      <w:r>
        <w:rPr>
          <w:rFonts w:hint="eastAsia" w:cs="Times New Roman"/>
          <w:lang w:val="en-US" w:eastAsia="zh-CN"/>
        </w:rPr>
        <w:t>15.04</w:t>
      </w:r>
      <w:r>
        <w:rPr>
          <w:rFonts w:hint="eastAsia" w:ascii="Times New Roman" w:hAnsi="Times New Roman" w:cs="Times New Roman"/>
          <w:lang w:val="en-US" w:eastAsia="zh-CN"/>
        </w:rPr>
        <w:t>%）+（0.</w:t>
      </w:r>
      <w:r>
        <w:rPr>
          <w:rFonts w:hint="eastAsia" w:cs="Times New Roman"/>
          <w:lang w:val="en-US" w:eastAsia="zh-CN"/>
        </w:rPr>
        <w:t>0</w:t>
      </w:r>
      <w:r>
        <w:rPr>
          <w:rFonts w:hint="eastAsia" w:ascii="Times New Roman" w:hAnsi="Times New Roman" w:cs="Times New Roman"/>
          <w:lang w:val="en-US" w:eastAsia="zh-CN"/>
        </w:rPr>
        <w:t>0×</w:t>
      </w:r>
      <w:r>
        <w:rPr>
          <w:rFonts w:hint="eastAsia" w:cs="Times New Roman"/>
          <w:lang w:val="en-US" w:eastAsia="zh-CN"/>
        </w:rPr>
        <w:t>0.00</w:t>
      </w:r>
      <w:r>
        <w:rPr>
          <w:rFonts w:hint="eastAsia" w:ascii="Times New Roman" w:hAnsi="Times New Roman" w:cs="Times New Roman"/>
          <w:lang w:val="en-US" w:eastAsia="zh-CN"/>
        </w:rPr>
        <w:t>%）+（0</w:t>
      </w:r>
      <w:r>
        <w:rPr>
          <w:rFonts w:hint="eastAsia" w:cs="Times New Roman"/>
          <w:lang w:val="en-US" w:eastAsia="zh-CN"/>
        </w:rPr>
        <w:t>.00</w:t>
      </w:r>
      <w:r>
        <w:rPr>
          <w:rFonts w:hint="eastAsia" w:ascii="Times New Roman" w:hAnsi="Times New Roman" w:cs="Times New Roman"/>
          <w:lang w:val="en-US" w:eastAsia="zh-CN"/>
        </w:rPr>
        <w:t>×0%）=9</w:t>
      </w:r>
      <w:r>
        <w:rPr>
          <w:rFonts w:hint="eastAsia" w:cs="Times New Roman"/>
          <w:lang w:val="en-US" w:eastAsia="zh-CN"/>
        </w:rPr>
        <w:t>6.99</w:t>
      </w:r>
      <w:r>
        <w:rPr>
          <w:rFonts w:hint="eastAsia" w:ascii="Times New Roman" w:hAnsi="Times New Roman" w:cs="Times New Roman"/>
          <w:lang w:val="en-US" w:eastAsia="zh-CN"/>
        </w:rPr>
        <w:t>%。评价标准按照满意度大于等于90%得满分，低于90%按照比例进行扣分，故本指标分值</w:t>
      </w:r>
      <w:r>
        <w:rPr>
          <w:rFonts w:hint="eastAsia" w:cs="Times New Roman"/>
          <w:lang w:val="en-US" w:eastAsia="zh-CN"/>
        </w:rPr>
        <w:t>6</w:t>
      </w:r>
      <w:r>
        <w:rPr>
          <w:rFonts w:hint="eastAsia" w:ascii="Times New Roman" w:hAnsi="Times New Roman" w:cs="Times New Roman"/>
          <w:lang w:val="en-US" w:eastAsia="zh-CN"/>
        </w:rPr>
        <w:t>分，得分</w:t>
      </w:r>
      <w:r>
        <w:rPr>
          <w:rFonts w:hint="eastAsia" w:cs="Times New Roman"/>
          <w:lang w:val="en-US" w:eastAsia="zh-CN"/>
        </w:rPr>
        <w:t>6</w:t>
      </w:r>
      <w:r>
        <w:rPr>
          <w:rFonts w:hint="eastAsia" w:ascii="Times New Roman" w:hAnsi="Times New Roman" w:cs="Times New Roman"/>
          <w:lang w:val="en-US" w:eastAsia="zh-CN"/>
        </w:rPr>
        <w:t>分。</w:t>
      </w:r>
    </w:p>
    <w:p w14:paraId="1A4A5B5F">
      <w:pPr>
        <w:widowControl/>
        <w:ind w:firstLine="640"/>
        <w:jc w:val="left"/>
        <w:outlineLvl w:val="0"/>
        <w:rPr>
          <w:rFonts w:eastAsia="黑体" w:cs="黑体"/>
          <w:kern w:val="0"/>
          <w:sz w:val="32"/>
          <w:szCs w:val="32"/>
          <w:lang w:bidi="ar"/>
        </w:rPr>
      </w:pPr>
      <w:bookmarkStart w:id="146" w:name="_Toc18438"/>
      <w:bookmarkStart w:id="147" w:name="_Toc20005"/>
      <w:bookmarkStart w:id="148" w:name="_Toc18937"/>
      <w:r>
        <w:rPr>
          <w:rFonts w:hint="eastAsia" w:eastAsia="黑体" w:cs="黑体"/>
          <w:kern w:val="0"/>
          <w:sz w:val="32"/>
          <w:szCs w:val="32"/>
          <w:lang w:bidi="ar"/>
        </w:rPr>
        <w:t>五、存在的问题及原因分析</w:t>
      </w:r>
      <w:bookmarkEnd w:id="146"/>
      <w:bookmarkEnd w:id="147"/>
      <w:bookmarkEnd w:id="148"/>
    </w:p>
    <w:p w14:paraId="6ACAC13C">
      <w:pPr>
        <w:widowControl/>
        <w:ind w:firstLine="643"/>
        <w:jc w:val="left"/>
        <w:outlineLvl w:val="1"/>
        <w:rPr>
          <w:rFonts w:hint="default" w:eastAsia="楷体" w:cs="楷体"/>
          <w:b/>
          <w:kern w:val="0"/>
          <w:sz w:val="32"/>
          <w:szCs w:val="32"/>
          <w:lang w:val="en-US" w:eastAsia="zh-CN" w:bidi="ar"/>
        </w:rPr>
      </w:pPr>
      <w:bookmarkStart w:id="149" w:name="_Toc30462"/>
      <w:bookmarkStart w:id="150" w:name="_Toc30302"/>
      <w:bookmarkStart w:id="151" w:name="_Toc25517"/>
      <w:r>
        <w:rPr>
          <w:rFonts w:hint="eastAsia" w:eastAsia="楷体" w:cs="楷体"/>
          <w:b/>
          <w:kern w:val="0"/>
          <w:sz w:val="32"/>
          <w:szCs w:val="32"/>
          <w:lang w:bidi="ar"/>
        </w:rPr>
        <w:t>（一）</w:t>
      </w:r>
      <w:bookmarkEnd w:id="149"/>
      <w:r>
        <w:rPr>
          <w:rFonts w:hint="eastAsia" w:eastAsia="楷体" w:cs="楷体"/>
          <w:b/>
          <w:kern w:val="0"/>
          <w:sz w:val="32"/>
          <w:szCs w:val="32"/>
          <w:lang w:val="en-US" w:eastAsia="zh-CN" w:bidi="ar"/>
        </w:rPr>
        <w:t>绩效指标执行时与年初指标略有偏差</w:t>
      </w:r>
      <w:bookmarkEnd w:id="150"/>
    </w:p>
    <w:p w14:paraId="0B8370BE">
      <w:pPr>
        <w:bidi w:val="0"/>
        <w:rPr>
          <w:rFonts w:hint="default" w:ascii="Times New Roman" w:hAnsi="Times New Roman" w:cs="Times New Roman"/>
          <w:lang w:val="en-US" w:eastAsia="zh-CN"/>
        </w:rPr>
      </w:pPr>
      <w:r>
        <w:rPr>
          <w:rFonts w:hint="eastAsia" w:cs="Times New Roman"/>
          <w:lang w:val="en-US" w:eastAsia="zh-CN"/>
        </w:rPr>
        <w:t>2024年度杭锦旗检察院</w:t>
      </w:r>
      <w:r>
        <w:rPr>
          <w:rFonts w:hint="eastAsia" w:ascii="Times New Roman" w:hAnsi="Times New Roman" w:cs="Times New Roman"/>
          <w:lang w:val="en-US" w:eastAsia="zh-CN"/>
        </w:rPr>
        <w:t>办案（业务）项目经费设置项目总成本绩效目标值304.00万元，</w:t>
      </w:r>
      <w:r>
        <w:rPr>
          <w:rFonts w:hint="eastAsia" w:cs="Times New Roman"/>
          <w:lang w:val="en-US" w:eastAsia="zh-CN"/>
        </w:rPr>
        <w:t>2024年度项目实施中进行追加资金49.96万元，但未进行</w:t>
      </w:r>
      <w:r>
        <w:rPr>
          <w:rFonts w:hint="eastAsia" w:ascii="Times New Roman" w:hAnsi="Times New Roman" w:cs="Times New Roman"/>
          <w:lang w:val="en-US" w:eastAsia="zh-CN"/>
        </w:rPr>
        <w:t>项目总成本绩效目标值调整，导致202</w:t>
      </w:r>
      <w:r>
        <w:rPr>
          <w:rFonts w:hint="eastAsia" w:cs="Times New Roman"/>
          <w:lang w:val="en-US" w:eastAsia="zh-CN"/>
        </w:rPr>
        <w:t>4</w:t>
      </w:r>
      <w:r>
        <w:rPr>
          <w:rFonts w:hint="eastAsia" w:ascii="Times New Roman" w:hAnsi="Times New Roman" w:cs="Times New Roman"/>
          <w:lang w:val="en-US" w:eastAsia="zh-CN"/>
        </w:rPr>
        <w:t>年实际项目总成本略有偏差，202</w:t>
      </w:r>
      <w:r>
        <w:rPr>
          <w:rFonts w:hint="eastAsia" w:cs="Times New Roman"/>
          <w:lang w:val="en-US" w:eastAsia="zh-CN"/>
        </w:rPr>
        <w:t>4</w:t>
      </w:r>
      <w:r>
        <w:rPr>
          <w:rFonts w:hint="eastAsia" w:ascii="Times New Roman" w:hAnsi="Times New Roman" w:cs="Times New Roman"/>
          <w:lang w:val="en-US" w:eastAsia="zh-CN"/>
        </w:rPr>
        <w:t>年实际</w:t>
      </w:r>
      <w:r>
        <w:rPr>
          <w:rFonts w:hint="eastAsia" w:cs="Times New Roman"/>
          <w:lang w:val="en-US" w:eastAsia="zh-CN"/>
        </w:rPr>
        <w:t>项目总成本</w:t>
      </w:r>
      <w:r>
        <w:rPr>
          <w:rFonts w:hint="eastAsia" w:ascii="Times New Roman" w:hAnsi="Times New Roman" w:cs="Times New Roman"/>
          <w:lang w:val="en-US" w:eastAsia="zh-CN"/>
        </w:rPr>
        <w:t>目353.96万元。</w:t>
      </w:r>
    </w:p>
    <w:p w14:paraId="51F023A8">
      <w:pPr>
        <w:widowControl/>
        <w:ind w:firstLine="640"/>
        <w:jc w:val="left"/>
        <w:outlineLvl w:val="0"/>
        <w:rPr>
          <w:rFonts w:eastAsia="黑体" w:cs="黑体"/>
          <w:kern w:val="0"/>
          <w:sz w:val="32"/>
          <w:szCs w:val="32"/>
          <w:lang w:bidi="ar"/>
        </w:rPr>
      </w:pPr>
      <w:bookmarkStart w:id="152" w:name="_Toc14860"/>
      <w:bookmarkStart w:id="153" w:name="_Toc765"/>
      <w:bookmarkStart w:id="154" w:name="_Toc21088"/>
      <w:r>
        <w:rPr>
          <w:rFonts w:hint="eastAsia" w:eastAsia="黑体" w:cs="黑体"/>
          <w:kern w:val="0"/>
          <w:sz w:val="32"/>
          <w:szCs w:val="32"/>
          <w:lang w:bidi="ar"/>
        </w:rPr>
        <w:t>六、相关建议</w:t>
      </w:r>
      <w:bookmarkEnd w:id="152"/>
      <w:bookmarkEnd w:id="153"/>
      <w:bookmarkEnd w:id="154"/>
    </w:p>
    <w:p w14:paraId="65B59CEC">
      <w:pPr>
        <w:widowControl/>
        <w:ind w:firstLine="643"/>
        <w:jc w:val="left"/>
        <w:outlineLvl w:val="1"/>
        <w:rPr>
          <w:rFonts w:hint="default" w:eastAsia="楷体" w:cs="楷体"/>
          <w:b/>
          <w:kern w:val="0"/>
          <w:sz w:val="32"/>
          <w:szCs w:val="32"/>
          <w:lang w:val="en-US" w:eastAsia="zh-CN" w:bidi="ar"/>
        </w:rPr>
      </w:pPr>
      <w:bookmarkStart w:id="155" w:name="_Toc1871"/>
      <w:bookmarkStart w:id="156" w:name="_Toc12353"/>
      <w:r>
        <w:rPr>
          <w:rFonts w:hint="eastAsia" w:eastAsia="楷体" w:cs="楷体"/>
          <w:b/>
          <w:kern w:val="0"/>
          <w:sz w:val="32"/>
          <w:szCs w:val="32"/>
          <w:lang w:bidi="ar"/>
        </w:rPr>
        <w:t>（一）提高</w:t>
      </w:r>
      <w:r>
        <w:rPr>
          <w:rFonts w:hint="eastAsia" w:eastAsia="楷体" w:cs="楷体"/>
          <w:b/>
          <w:kern w:val="0"/>
          <w:sz w:val="32"/>
          <w:szCs w:val="32"/>
          <w:lang w:val="en-US" w:eastAsia="zh-CN" w:bidi="ar"/>
        </w:rPr>
        <w:t>预算绩效指标值</w:t>
      </w:r>
      <w:r>
        <w:rPr>
          <w:rFonts w:hint="eastAsia" w:eastAsia="楷体" w:cs="楷体"/>
          <w:b/>
          <w:kern w:val="0"/>
          <w:sz w:val="32"/>
          <w:szCs w:val="32"/>
          <w:lang w:bidi="ar"/>
        </w:rPr>
        <w:t>预测的准确性</w:t>
      </w:r>
      <w:bookmarkEnd w:id="155"/>
    </w:p>
    <w:p w14:paraId="067E6654">
      <w:pPr>
        <w:bidi w:val="0"/>
        <w:rPr>
          <w:rFonts w:hint="eastAsia" w:ascii="Times New Roman" w:hAnsi="Times New Roman" w:cs="Times New Roman"/>
          <w:lang w:val="en-US" w:eastAsia="zh-CN"/>
        </w:rPr>
      </w:pPr>
      <w:r>
        <w:rPr>
          <w:rFonts w:hint="eastAsia" w:ascii="Times New Roman" w:hAnsi="Times New Roman" w:cs="Times New Roman"/>
          <w:lang w:val="en-US" w:eastAsia="zh-CN"/>
        </w:rPr>
        <w:t>预算单位需设定明确、可衡量和具体的绩效指标，这些指标应该与业务计划紧密相关，能够反映预算的实际执行情况和绩效表现。通过对历史数据的收集和分析，了解过去的预算绩效表现，以及影响预算绩效的关键因素。加强内部沟通和协作，确保预算数据的准确性和完整性。同时，也需要与相关部门建立有效的沟通机制，及时了解和解决预算执行中的问题。</w:t>
      </w:r>
    </w:p>
    <w:bookmarkEnd w:id="156"/>
    <w:p w14:paraId="63E5D195">
      <w:pPr>
        <w:widowControl/>
        <w:ind w:firstLine="640"/>
        <w:jc w:val="left"/>
        <w:outlineLvl w:val="0"/>
        <w:rPr>
          <w:rFonts w:eastAsia="黑体" w:cs="黑体"/>
          <w:kern w:val="0"/>
          <w:sz w:val="32"/>
          <w:szCs w:val="32"/>
          <w:lang w:bidi="ar"/>
        </w:rPr>
      </w:pPr>
      <w:bookmarkStart w:id="157" w:name="_Toc2383"/>
      <w:bookmarkStart w:id="158" w:name="_Toc30762"/>
      <w:r>
        <w:rPr>
          <w:rFonts w:hint="eastAsia" w:eastAsia="黑体" w:cs="黑体"/>
          <w:kern w:val="0"/>
          <w:sz w:val="32"/>
          <w:szCs w:val="32"/>
          <w:lang w:bidi="ar"/>
        </w:rPr>
        <w:t>七、需要说明的事项</w:t>
      </w:r>
      <w:bookmarkEnd w:id="151"/>
      <w:bookmarkEnd w:id="157"/>
      <w:bookmarkEnd w:id="158"/>
    </w:p>
    <w:p w14:paraId="7247722C">
      <w:pPr>
        <w:widowControl/>
        <w:ind w:firstLine="643"/>
        <w:jc w:val="left"/>
        <w:outlineLvl w:val="1"/>
        <w:rPr>
          <w:sz w:val="32"/>
          <w:szCs w:val="32"/>
        </w:rPr>
      </w:pPr>
      <w:bookmarkStart w:id="159" w:name="_Toc28131"/>
      <w:bookmarkStart w:id="160" w:name="_Toc1342"/>
      <w:bookmarkStart w:id="161" w:name="_Toc2032"/>
      <w:r>
        <w:rPr>
          <w:rFonts w:eastAsia="楷体" w:cs="楷体"/>
          <w:b/>
          <w:kern w:val="0"/>
          <w:sz w:val="32"/>
          <w:szCs w:val="32"/>
          <w:lang w:bidi="ar"/>
        </w:rPr>
        <w:t>（一）关于评价责任的说明</w:t>
      </w:r>
      <w:bookmarkEnd w:id="159"/>
      <w:bookmarkEnd w:id="160"/>
      <w:bookmarkEnd w:id="161"/>
    </w:p>
    <w:p w14:paraId="3256FF0B">
      <w:pPr>
        <w:bidi w:val="0"/>
        <w:rPr>
          <w:rFonts w:hint="default" w:ascii="Times New Roman" w:hAnsi="Times New Roman" w:cs="Times New Roman"/>
          <w:lang w:val="en-US" w:eastAsia="zh-CN"/>
        </w:rPr>
      </w:pPr>
      <w:r>
        <w:rPr>
          <w:rFonts w:hint="eastAsia" w:ascii="Times New Roman" w:hAnsi="Times New Roman" w:cs="Times New Roman"/>
          <w:lang w:val="en-US" w:eastAsia="zh-CN"/>
        </w:rPr>
        <w:t>被评价单位的责任是提供与形成本次绩效评价报告相关的基础工作材料和相关资金财务核算资料，并对其真实性、合法性、完整性负责。依据《项目支出绩效评价管理办法》（财预〔2020〕10号）进行评价，选择的绩效评价程序取决于评估人员的判断，项目评价的可靠性基于相关部门和单位提供资料的全面性和准确性，评价工作组尽可能地收集更为全面、有效、准确的文件和数据，但由于受客观因素的限制，只能在相关部门和单位提供的现有资料的前提下，结合应有的职业判断做出尽可能可靠的评价结论。</w:t>
      </w:r>
    </w:p>
    <w:p w14:paraId="2D7DF067">
      <w:pPr>
        <w:widowControl/>
        <w:spacing w:before="205" w:beforeLines="50"/>
        <w:ind w:firstLine="643"/>
        <w:jc w:val="left"/>
        <w:outlineLvl w:val="1"/>
        <w:rPr>
          <w:rFonts w:eastAsia="楷体" w:cs="楷体"/>
          <w:b/>
          <w:kern w:val="0"/>
          <w:sz w:val="32"/>
          <w:szCs w:val="32"/>
          <w:lang w:bidi="ar"/>
        </w:rPr>
      </w:pPr>
      <w:bookmarkStart w:id="162" w:name="_Toc32385"/>
      <w:bookmarkStart w:id="163" w:name="_Toc9311"/>
      <w:bookmarkStart w:id="164" w:name="_Toc18587"/>
      <w:r>
        <w:rPr>
          <w:rFonts w:hint="eastAsia" w:eastAsia="楷体" w:cs="楷体"/>
          <w:b/>
          <w:kern w:val="0"/>
          <w:sz w:val="32"/>
          <w:szCs w:val="32"/>
          <w:lang w:bidi="ar"/>
        </w:rPr>
        <w:t>（二）</w:t>
      </w:r>
      <w:r>
        <w:rPr>
          <w:rFonts w:eastAsia="楷体" w:cs="楷体"/>
          <w:b/>
          <w:kern w:val="0"/>
          <w:sz w:val="32"/>
          <w:szCs w:val="32"/>
          <w:lang w:bidi="ar"/>
        </w:rPr>
        <w:t>关于影响本次绩效评价局限性的说明</w:t>
      </w:r>
      <w:bookmarkEnd w:id="162"/>
      <w:bookmarkEnd w:id="163"/>
      <w:bookmarkEnd w:id="164"/>
    </w:p>
    <w:p w14:paraId="602C8CCD">
      <w:pPr>
        <w:bidi w:val="0"/>
        <w:rPr>
          <w:rFonts w:hint="default" w:ascii="Times New Roman" w:hAnsi="Times New Roman" w:cs="Times New Roman"/>
          <w:lang w:val="en-US" w:eastAsia="zh-CN"/>
        </w:rPr>
      </w:pPr>
      <w:r>
        <w:rPr>
          <w:rFonts w:hint="eastAsia" w:ascii="Times New Roman" w:hAnsi="Times New Roman" w:cs="Times New Roman"/>
          <w:lang w:val="en-US" w:eastAsia="zh-CN"/>
        </w:rPr>
        <w:t>本次绩效评价的部分指标在具体目标值以及实际完成值量化方面存在一定难度，评价工作组本着尽可能公平、公正、合理的原则，并结合问卷调查统计结果对相关指标进行综合评价。</w:t>
      </w:r>
    </w:p>
    <w:p w14:paraId="17485A90">
      <w:pPr>
        <w:widowControl/>
        <w:ind w:firstLine="643"/>
        <w:jc w:val="left"/>
        <w:outlineLvl w:val="1"/>
        <w:rPr>
          <w:rFonts w:eastAsia="楷体" w:cs="楷体"/>
          <w:b/>
          <w:kern w:val="0"/>
          <w:sz w:val="32"/>
          <w:szCs w:val="32"/>
          <w:lang w:bidi="ar"/>
        </w:rPr>
      </w:pPr>
      <w:bookmarkStart w:id="165" w:name="_Toc23612"/>
      <w:bookmarkStart w:id="166" w:name="_Toc25353"/>
      <w:bookmarkStart w:id="167" w:name="_Toc1675"/>
      <w:r>
        <w:rPr>
          <w:rFonts w:hint="eastAsia" w:eastAsia="楷体" w:cs="楷体"/>
          <w:b/>
          <w:kern w:val="0"/>
          <w:sz w:val="32"/>
          <w:szCs w:val="32"/>
          <w:lang w:bidi="ar"/>
        </w:rPr>
        <w:t>（三）提示报告使用者注意事项的说明</w:t>
      </w:r>
      <w:bookmarkEnd w:id="165"/>
      <w:bookmarkEnd w:id="166"/>
      <w:bookmarkEnd w:id="167"/>
    </w:p>
    <w:p w14:paraId="3DC2A4A2">
      <w:pPr>
        <w:bidi w:val="0"/>
        <w:rPr>
          <w:rFonts w:hint="default" w:ascii="Times New Roman" w:hAnsi="Times New Roman" w:cs="Times New Roman"/>
          <w:lang w:val="en-US" w:eastAsia="zh-CN"/>
        </w:rPr>
        <w:sectPr>
          <w:headerReference r:id="rId6" w:type="default"/>
          <w:footerReference r:id="rId7" w:type="default"/>
          <w:pgSz w:w="11906" w:h="16838"/>
          <w:pgMar w:top="1440" w:right="1587" w:bottom="1440" w:left="1587" w:header="822" w:footer="992" w:gutter="0"/>
          <w:pgBorders>
            <w:top w:val="none" w:sz="0" w:space="0"/>
            <w:left w:val="none" w:sz="0" w:space="0"/>
            <w:bottom w:val="none" w:sz="0" w:space="0"/>
            <w:right w:val="none" w:sz="0" w:space="0"/>
          </w:pgBorders>
          <w:pgNumType w:start="1"/>
          <w:cols w:space="0" w:num="1"/>
          <w:docGrid w:type="lines" w:linePitch="410" w:charSpace="0"/>
        </w:sectPr>
      </w:pPr>
      <w:r>
        <w:rPr>
          <w:rFonts w:hint="eastAsia" w:ascii="Times New Roman" w:hAnsi="Times New Roman" w:cs="Times New Roman"/>
          <w:lang w:val="en-US" w:eastAsia="zh-CN"/>
        </w:rPr>
        <w:t>本报告使用人对评价结果的把握应建立在对本报告所提供的有关评价结果的各项条件及说明的认真阅读和理解的基础之上。</w:t>
      </w:r>
    </w:p>
    <w:p w14:paraId="421805D2">
      <w:pPr>
        <w:widowControl/>
        <w:ind w:firstLine="640"/>
        <w:jc w:val="left"/>
        <w:outlineLvl w:val="0"/>
        <w:rPr>
          <w:rFonts w:eastAsia="黑体" w:cs="黑体"/>
          <w:kern w:val="0"/>
          <w:sz w:val="32"/>
          <w:szCs w:val="32"/>
          <w:lang w:bidi="ar"/>
        </w:rPr>
      </w:pPr>
      <w:bookmarkStart w:id="168" w:name="_Toc27685"/>
      <w:bookmarkStart w:id="169" w:name="_Toc31698"/>
      <w:bookmarkStart w:id="170" w:name="_Toc59577474"/>
      <w:bookmarkStart w:id="171" w:name="_Toc57965954"/>
      <w:bookmarkStart w:id="172" w:name="_Toc21283"/>
      <w:bookmarkStart w:id="173" w:name="_Toc19361"/>
      <w:bookmarkStart w:id="174" w:name="_Toc31587"/>
      <w:bookmarkStart w:id="175" w:name="_Toc3978"/>
      <w:bookmarkStart w:id="176" w:name="_Toc61482787"/>
      <w:bookmarkStart w:id="177" w:name="_Toc19913"/>
      <w:bookmarkStart w:id="178" w:name="_Toc11673"/>
      <w:bookmarkStart w:id="179" w:name="_Toc61482996"/>
      <w:bookmarkStart w:id="180" w:name="_Toc61482868"/>
      <w:r>
        <w:rPr>
          <w:rFonts w:hint="eastAsia" w:eastAsia="黑体" w:cs="黑体"/>
          <w:kern w:val="0"/>
          <w:sz w:val="32"/>
          <w:szCs w:val="32"/>
          <w:lang w:bidi="ar"/>
        </w:rPr>
        <w:t>八、附件</w:t>
      </w:r>
      <w:bookmarkEnd w:id="168"/>
      <w:bookmarkEnd w:id="169"/>
    </w:p>
    <w:p w14:paraId="4C644D19">
      <w:pPr>
        <w:widowControl/>
        <w:ind w:firstLine="640"/>
        <w:jc w:val="left"/>
        <w:outlineLvl w:val="0"/>
        <w:rPr>
          <w:rFonts w:eastAsia="黑体" w:cs="黑体"/>
          <w:kern w:val="0"/>
          <w:sz w:val="32"/>
          <w:szCs w:val="32"/>
          <w:lang w:bidi="ar"/>
        </w:rPr>
      </w:pPr>
      <w:bookmarkStart w:id="181" w:name="_Toc3"/>
      <w:bookmarkStart w:id="182" w:name="_Toc15229"/>
      <w:r>
        <w:rPr>
          <w:rFonts w:hint="eastAsia" w:eastAsia="黑体" w:cs="黑体"/>
          <w:kern w:val="0"/>
          <w:sz w:val="32"/>
          <w:szCs w:val="32"/>
          <w:lang w:bidi="ar"/>
        </w:rPr>
        <w:t>附件1：</w:t>
      </w:r>
      <w:bookmarkStart w:id="183" w:name="_Toc20349"/>
      <w:r>
        <w:rPr>
          <w:rFonts w:hint="eastAsia" w:eastAsia="黑体" w:cs="黑体"/>
          <w:kern w:val="0"/>
          <w:sz w:val="32"/>
          <w:szCs w:val="32"/>
          <w:lang w:bidi="ar"/>
        </w:rPr>
        <w:t>绩效评价指标体系</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76AB259">
      <w:pPr>
        <w:ind w:firstLine="0" w:firstLineChars="0"/>
        <w:jc w:val="center"/>
        <w:rPr>
          <w:rFonts w:hint="eastAsia" w:eastAsia="黑体" w:cs="黑体"/>
          <w:sz w:val="24"/>
        </w:rPr>
      </w:pPr>
      <w:r>
        <w:rPr>
          <w:rFonts w:hint="eastAsia" w:eastAsia="黑体" w:cs="黑体"/>
          <w:bCs/>
          <w:sz w:val="24"/>
          <w:lang w:eastAsia="zh-CN"/>
        </w:rPr>
        <w:t>办案（业务）经费</w:t>
      </w:r>
      <w:r>
        <w:rPr>
          <w:rFonts w:hint="eastAsia" w:eastAsia="黑体" w:cs="黑体"/>
          <w:bCs/>
          <w:sz w:val="24"/>
        </w:rPr>
        <w:t>项目</w:t>
      </w:r>
      <w:r>
        <w:rPr>
          <w:rFonts w:hint="eastAsia" w:eastAsia="黑体" w:cs="黑体"/>
          <w:sz w:val="24"/>
        </w:rPr>
        <w:t>绩效评价指标体系</w:t>
      </w:r>
    </w:p>
    <w:tbl>
      <w:tblPr>
        <w:tblStyle w:val="23"/>
        <w:tblW w:w="1407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709"/>
        <w:gridCol w:w="1385"/>
        <w:gridCol w:w="4353"/>
        <w:gridCol w:w="5236"/>
        <w:gridCol w:w="824"/>
        <w:gridCol w:w="813"/>
      </w:tblGrid>
      <w:tr w14:paraId="1519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tcBorders>
              <w:top w:val="single" w:color="000000" w:sz="8" w:space="0"/>
              <w:left w:val="single" w:color="000000" w:sz="8" w:space="0"/>
              <w:bottom w:val="single" w:color="000000" w:sz="8" w:space="0"/>
              <w:right w:val="single" w:color="000000" w:sz="8" w:space="0"/>
            </w:tcBorders>
            <w:shd w:val="clear" w:color="auto" w:fill="D7D7D7"/>
            <w:vAlign w:val="center"/>
          </w:tcPr>
          <w:p w14:paraId="7DFA8DE4">
            <w:pPr>
              <w:keepNext w:val="0"/>
              <w:keepLines w:val="0"/>
              <w:widowControl/>
              <w:suppressLineNumbers w:val="0"/>
              <w:ind w:left="0" w:leftChars="0" w:firstLine="0" w:firstLineChars="0"/>
              <w:jc w:val="both"/>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一级指标</w:t>
            </w:r>
          </w:p>
        </w:tc>
        <w:tc>
          <w:tcPr>
            <w:tcW w:w="709" w:type="dxa"/>
            <w:tcBorders>
              <w:top w:val="single" w:color="000000" w:sz="8" w:space="0"/>
              <w:left w:val="single" w:color="000000" w:sz="8" w:space="0"/>
              <w:bottom w:val="single" w:color="000000" w:sz="8" w:space="0"/>
              <w:right w:val="single" w:color="000000" w:sz="8" w:space="0"/>
            </w:tcBorders>
            <w:shd w:val="clear" w:color="auto" w:fill="D7D7D7"/>
            <w:vAlign w:val="center"/>
          </w:tcPr>
          <w:p w14:paraId="4314936C">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二级指标</w:t>
            </w:r>
          </w:p>
        </w:tc>
        <w:tc>
          <w:tcPr>
            <w:tcW w:w="1385" w:type="dxa"/>
            <w:tcBorders>
              <w:top w:val="single" w:color="000000" w:sz="8" w:space="0"/>
              <w:left w:val="single" w:color="000000" w:sz="8" w:space="0"/>
              <w:bottom w:val="single" w:color="000000" w:sz="8" w:space="0"/>
              <w:right w:val="single" w:color="000000" w:sz="8" w:space="0"/>
            </w:tcBorders>
            <w:shd w:val="clear" w:color="auto" w:fill="D7D7D7"/>
            <w:vAlign w:val="center"/>
          </w:tcPr>
          <w:p w14:paraId="4BF04223">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三级指标</w:t>
            </w:r>
          </w:p>
        </w:tc>
        <w:tc>
          <w:tcPr>
            <w:tcW w:w="4353" w:type="dxa"/>
            <w:tcBorders>
              <w:top w:val="single" w:color="000000" w:sz="8" w:space="0"/>
              <w:left w:val="single" w:color="000000" w:sz="8" w:space="0"/>
              <w:bottom w:val="single" w:color="000000" w:sz="8" w:space="0"/>
              <w:right w:val="single" w:color="000000" w:sz="8" w:space="0"/>
            </w:tcBorders>
            <w:shd w:val="clear" w:color="auto" w:fill="D7D7D7"/>
            <w:vAlign w:val="center"/>
          </w:tcPr>
          <w:p w14:paraId="1AED362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指标解释</w:t>
            </w:r>
          </w:p>
        </w:tc>
        <w:tc>
          <w:tcPr>
            <w:tcW w:w="5236" w:type="dxa"/>
            <w:tcBorders>
              <w:top w:val="single" w:color="000000" w:sz="8" w:space="0"/>
              <w:left w:val="single" w:color="000000" w:sz="8" w:space="0"/>
              <w:bottom w:val="single" w:color="000000" w:sz="8" w:space="0"/>
              <w:right w:val="single" w:color="000000" w:sz="8" w:space="0"/>
            </w:tcBorders>
            <w:shd w:val="clear" w:color="auto" w:fill="D7D7D7"/>
            <w:vAlign w:val="center"/>
          </w:tcPr>
          <w:p w14:paraId="431D7D9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指标说明</w:t>
            </w:r>
          </w:p>
        </w:tc>
        <w:tc>
          <w:tcPr>
            <w:tcW w:w="824" w:type="dxa"/>
            <w:tcBorders>
              <w:top w:val="single" w:color="000000" w:sz="8" w:space="0"/>
              <w:left w:val="single" w:color="000000" w:sz="8" w:space="0"/>
              <w:bottom w:val="single" w:color="000000" w:sz="8" w:space="0"/>
              <w:right w:val="single" w:color="000000" w:sz="8" w:space="0"/>
            </w:tcBorders>
            <w:shd w:val="clear" w:color="auto" w:fill="D7D7D7"/>
            <w:vAlign w:val="center"/>
          </w:tcPr>
          <w:p w14:paraId="423B38C8">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分值</w:t>
            </w:r>
          </w:p>
        </w:tc>
        <w:tc>
          <w:tcPr>
            <w:tcW w:w="813" w:type="dxa"/>
            <w:tcBorders>
              <w:top w:val="single" w:color="000000" w:sz="8" w:space="0"/>
              <w:left w:val="single" w:color="000000" w:sz="8" w:space="0"/>
              <w:bottom w:val="single" w:color="000000" w:sz="8" w:space="0"/>
              <w:right w:val="single" w:color="000000" w:sz="8" w:space="0"/>
            </w:tcBorders>
            <w:shd w:val="clear" w:color="auto" w:fill="D7D7D7"/>
            <w:vAlign w:val="center"/>
          </w:tcPr>
          <w:p w14:paraId="0954AB18">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得分</w:t>
            </w:r>
          </w:p>
        </w:tc>
      </w:tr>
      <w:tr w14:paraId="3F7F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53" w:type="dxa"/>
            <w:vMerge w:val="restart"/>
            <w:tcBorders>
              <w:top w:val="nil"/>
              <w:left w:val="single" w:color="000000" w:sz="8" w:space="0"/>
              <w:bottom w:val="single" w:color="000000" w:sz="8" w:space="0"/>
              <w:right w:val="single" w:color="000000" w:sz="8" w:space="0"/>
            </w:tcBorders>
            <w:shd w:val="clear" w:color="auto" w:fill="FFFFFF"/>
            <w:vAlign w:val="center"/>
          </w:tcPr>
          <w:p w14:paraId="4B74A8A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决策　</w:t>
            </w:r>
          </w:p>
        </w:tc>
        <w:tc>
          <w:tcPr>
            <w:tcW w:w="709" w:type="dxa"/>
            <w:vMerge w:val="restart"/>
            <w:tcBorders>
              <w:top w:val="nil"/>
              <w:left w:val="single" w:color="000000" w:sz="8" w:space="0"/>
              <w:bottom w:val="single" w:color="000000" w:sz="8" w:space="0"/>
              <w:right w:val="single" w:color="000000" w:sz="8" w:space="0"/>
            </w:tcBorders>
            <w:shd w:val="clear" w:color="auto" w:fill="FFFFFF"/>
            <w:vAlign w:val="center"/>
          </w:tcPr>
          <w:p w14:paraId="16F053A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项目立项　</w:t>
            </w: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15B3014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立项依据充分性</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5527B53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项目立项是否符合法律法规、相关政策、发展规划以及部门职责，用以反映和考核项目立项依据情况。</w:t>
            </w:r>
          </w:p>
        </w:tc>
        <w:tc>
          <w:tcPr>
            <w:tcW w:w="5236" w:type="dxa"/>
            <w:tcBorders>
              <w:top w:val="nil"/>
              <w:left w:val="single" w:color="000000" w:sz="8" w:space="0"/>
              <w:bottom w:val="nil"/>
              <w:right w:val="single" w:color="000000" w:sz="8" w:space="0"/>
            </w:tcBorders>
            <w:shd w:val="clear" w:color="auto" w:fill="FFFFFF"/>
            <w:vAlign w:val="center"/>
          </w:tcPr>
          <w:p w14:paraId="22CDF0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448E948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57E0B18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376A3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6BAE6231">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5966F56C">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6DE03E1C">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07A8CDF8">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1BB9807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①项目立项是否符合国家法律法规、国民经济发展规划和相关政策（0-1分）；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6FCE2659">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50C6657E">
            <w:pPr>
              <w:jc w:val="center"/>
              <w:rPr>
                <w:rFonts w:hint="eastAsia" w:ascii="仿宋" w:hAnsi="仿宋" w:eastAsia="仿宋" w:cs="仿宋"/>
                <w:i w:val="0"/>
                <w:iCs w:val="0"/>
                <w:color w:val="000000"/>
                <w:sz w:val="22"/>
                <w:szCs w:val="22"/>
                <w:u w:val="none"/>
              </w:rPr>
            </w:pPr>
          </w:p>
        </w:tc>
      </w:tr>
      <w:tr w14:paraId="0F39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438F9C2E">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32769DBA">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4B4951F1">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234AED5E">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65C7F80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②项目立项是否符合行业发展规划和政策要求（0-0.5分）；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39C46C62">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3AE48F5F">
            <w:pPr>
              <w:jc w:val="center"/>
              <w:rPr>
                <w:rFonts w:hint="eastAsia" w:ascii="仿宋" w:hAnsi="仿宋" w:eastAsia="仿宋" w:cs="仿宋"/>
                <w:i w:val="0"/>
                <w:iCs w:val="0"/>
                <w:color w:val="000000"/>
                <w:sz w:val="22"/>
                <w:szCs w:val="22"/>
                <w:u w:val="none"/>
              </w:rPr>
            </w:pPr>
          </w:p>
        </w:tc>
      </w:tr>
      <w:tr w14:paraId="09C0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2ACC909B">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65D03837">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25FA41B5">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2C78D3A5">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1527A73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③项目立项是否与部门职责范围相符，属于部门履职所需（0-0.5分）；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33861F6D">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538295B1">
            <w:pPr>
              <w:jc w:val="center"/>
              <w:rPr>
                <w:rFonts w:hint="eastAsia" w:ascii="仿宋" w:hAnsi="仿宋" w:eastAsia="仿宋" w:cs="仿宋"/>
                <w:i w:val="0"/>
                <w:iCs w:val="0"/>
                <w:color w:val="000000"/>
                <w:sz w:val="22"/>
                <w:szCs w:val="22"/>
                <w:u w:val="none"/>
              </w:rPr>
            </w:pPr>
          </w:p>
        </w:tc>
      </w:tr>
      <w:tr w14:paraId="0C89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59FF53D4">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02BFA811">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1255D4A7">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10B4E51A">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38D61A1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④项目是否属于公共财政支持范围，是否符合中央、地方事权支出责任划分原则（0-0.5分）；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42252645">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471FDC20">
            <w:pPr>
              <w:jc w:val="center"/>
              <w:rPr>
                <w:rFonts w:hint="eastAsia" w:ascii="仿宋" w:hAnsi="仿宋" w:eastAsia="仿宋" w:cs="仿宋"/>
                <w:i w:val="0"/>
                <w:iCs w:val="0"/>
                <w:color w:val="000000"/>
                <w:sz w:val="22"/>
                <w:szCs w:val="22"/>
                <w:u w:val="none"/>
              </w:rPr>
            </w:pPr>
          </w:p>
        </w:tc>
      </w:tr>
      <w:tr w14:paraId="0447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2B612D66">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2B5DE47C">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7DB5A34F">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012E6E1F">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5D30CB6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⑤项目是否与相关部门同类项目或部门内部相关项目重复（0-0.5分）。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6A08B76F">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1BFD242B">
            <w:pPr>
              <w:jc w:val="center"/>
              <w:rPr>
                <w:rFonts w:hint="eastAsia" w:ascii="仿宋" w:hAnsi="仿宋" w:eastAsia="仿宋" w:cs="仿宋"/>
                <w:i w:val="0"/>
                <w:iCs w:val="0"/>
                <w:color w:val="000000"/>
                <w:sz w:val="22"/>
                <w:szCs w:val="22"/>
                <w:u w:val="none"/>
              </w:rPr>
            </w:pPr>
          </w:p>
        </w:tc>
      </w:tr>
      <w:tr w14:paraId="7EA2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7701459C">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0E2CD52C">
            <w:pPr>
              <w:jc w:val="center"/>
              <w:rPr>
                <w:rFonts w:hint="eastAsia" w:ascii="仿宋" w:hAnsi="仿宋" w:eastAsia="仿宋" w:cs="仿宋"/>
                <w:i w:val="0"/>
                <w:iCs w:val="0"/>
                <w:color w:val="000000"/>
                <w:sz w:val="22"/>
                <w:szCs w:val="22"/>
                <w:u w:val="none"/>
              </w:rPr>
            </w:pP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2CE5E21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立项程序规范性</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35F162A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项目申请、设立过程是否符合相关要求，用以反映和考核项目立项的规范情况。</w:t>
            </w:r>
          </w:p>
        </w:tc>
        <w:tc>
          <w:tcPr>
            <w:tcW w:w="5236" w:type="dxa"/>
            <w:tcBorders>
              <w:top w:val="nil"/>
              <w:left w:val="single" w:color="000000" w:sz="8" w:space="0"/>
              <w:bottom w:val="nil"/>
              <w:right w:val="single" w:color="000000" w:sz="8" w:space="0"/>
            </w:tcBorders>
            <w:shd w:val="clear" w:color="auto" w:fill="FFFFFF"/>
            <w:vAlign w:val="center"/>
          </w:tcPr>
          <w:p w14:paraId="56FAAED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6DBD0B0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15F4C99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4935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3155564B">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632F3A9D">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4AE08F34">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0F26E88C">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3A76015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①项目是否按照规定的程序申请设立（0-1分）；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42D73F41">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08E87CA6">
            <w:pPr>
              <w:jc w:val="center"/>
              <w:rPr>
                <w:rFonts w:hint="eastAsia" w:ascii="仿宋" w:hAnsi="仿宋" w:eastAsia="仿宋" w:cs="仿宋"/>
                <w:i w:val="0"/>
                <w:iCs w:val="0"/>
                <w:color w:val="000000"/>
                <w:sz w:val="22"/>
                <w:szCs w:val="22"/>
                <w:u w:val="none"/>
              </w:rPr>
            </w:pPr>
          </w:p>
        </w:tc>
      </w:tr>
      <w:tr w14:paraId="5B1B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628EAC83">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7120E1F6">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272B869D">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09BD0535">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270D002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②审批文件、材料是否符合相关要求（0-1分）；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55467D15">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79CC1386">
            <w:pPr>
              <w:jc w:val="center"/>
              <w:rPr>
                <w:rFonts w:hint="eastAsia" w:ascii="仿宋" w:hAnsi="仿宋" w:eastAsia="仿宋" w:cs="仿宋"/>
                <w:i w:val="0"/>
                <w:iCs w:val="0"/>
                <w:color w:val="000000"/>
                <w:sz w:val="22"/>
                <w:szCs w:val="22"/>
                <w:u w:val="none"/>
              </w:rPr>
            </w:pPr>
          </w:p>
        </w:tc>
      </w:tr>
      <w:tr w14:paraId="19E2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4C012886">
            <w:pPr>
              <w:jc w:val="center"/>
              <w:rPr>
                <w:rFonts w:hint="eastAsia" w:ascii="仿宋" w:hAnsi="仿宋" w:eastAsia="仿宋" w:cs="仿宋"/>
                <w:i w:val="0"/>
                <w:iCs w:val="0"/>
                <w:color w:val="000000"/>
                <w:sz w:val="22"/>
                <w:szCs w:val="22"/>
                <w:u w:val="none"/>
              </w:rPr>
            </w:pPr>
          </w:p>
        </w:tc>
        <w:tc>
          <w:tcPr>
            <w:tcW w:w="709" w:type="dxa"/>
            <w:vMerge w:val="restart"/>
            <w:tcBorders>
              <w:top w:val="nil"/>
              <w:left w:val="single" w:color="000000" w:sz="8" w:space="0"/>
              <w:bottom w:val="single" w:color="000000" w:sz="8" w:space="0"/>
              <w:right w:val="single" w:color="000000" w:sz="8" w:space="0"/>
            </w:tcBorders>
            <w:shd w:val="clear" w:color="auto" w:fill="FFFFFF"/>
            <w:vAlign w:val="center"/>
          </w:tcPr>
          <w:p w14:paraId="4FB6EDF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绩效目标　</w:t>
            </w: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7ADEC18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绩效目标合理性</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619E1A6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项目所设定的绩效目标是否依据充分，是否符合客观实际，用以反映和考核项目绩效目标与项目实施的相符情况。</w:t>
            </w:r>
          </w:p>
        </w:tc>
        <w:tc>
          <w:tcPr>
            <w:tcW w:w="5236" w:type="dxa"/>
            <w:tcBorders>
              <w:top w:val="nil"/>
              <w:left w:val="single" w:color="000000" w:sz="8" w:space="0"/>
              <w:bottom w:val="nil"/>
              <w:right w:val="single" w:color="000000" w:sz="8" w:space="0"/>
            </w:tcBorders>
            <w:shd w:val="clear" w:color="auto" w:fill="FFFFFF"/>
            <w:vAlign w:val="center"/>
          </w:tcPr>
          <w:p w14:paraId="6A16383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52475B5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36F9621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5D16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7CA7E951">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7A4E88F7">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3EE41873">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628BB258">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6B7110B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（如未设定预算绩效目标，也可考核其他工作任务目标）</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719D4FB1">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0B6F874D">
            <w:pPr>
              <w:jc w:val="center"/>
              <w:rPr>
                <w:rFonts w:hint="eastAsia" w:ascii="仿宋" w:hAnsi="仿宋" w:eastAsia="仿宋" w:cs="仿宋"/>
                <w:i w:val="0"/>
                <w:iCs w:val="0"/>
                <w:color w:val="000000"/>
                <w:sz w:val="22"/>
                <w:szCs w:val="22"/>
                <w:u w:val="none"/>
              </w:rPr>
            </w:pPr>
          </w:p>
        </w:tc>
      </w:tr>
      <w:tr w14:paraId="617D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0D75181B">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438B66B5">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70C38C3E">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2022806D">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0C80623F">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①项目是否有绩效目标（0-1分）；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2977021C">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0505FF7A">
            <w:pPr>
              <w:jc w:val="center"/>
              <w:rPr>
                <w:rFonts w:hint="eastAsia" w:ascii="仿宋" w:hAnsi="仿宋" w:eastAsia="仿宋" w:cs="仿宋"/>
                <w:i w:val="0"/>
                <w:iCs w:val="0"/>
                <w:color w:val="000000"/>
                <w:sz w:val="22"/>
                <w:szCs w:val="22"/>
                <w:u w:val="none"/>
              </w:rPr>
            </w:pPr>
          </w:p>
        </w:tc>
      </w:tr>
      <w:tr w14:paraId="25936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0136D87D">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278642B6">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4F2F2B92">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10BF461F">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7EEFEF5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②项目绩效目标与实际工作内容是否具有相关性（0-1分）；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14BFA835">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79F92BD3">
            <w:pPr>
              <w:jc w:val="center"/>
              <w:rPr>
                <w:rFonts w:hint="eastAsia" w:ascii="仿宋" w:hAnsi="仿宋" w:eastAsia="仿宋" w:cs="仿宋"/>
                <w:i w:val="0"/>
                <w:iCs w:val="0"/>
                <w:color w:val="000000"/>
                <w:sz w:val="22"/>
                <w:szCs w:val="22"/>
                <w:u w:val="none"/>
              </w:rPr>
            </w:pPr>
          </w:p>
        </w:tc>
      </w:tr>
      <w:tr w14:paraId="6234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3B728C4A">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700908E3">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6D6D5698">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2900F932">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66D7AA1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③项目预期产出效益和效果是否符合正常的业绩水平（0-0.5分）；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0F1FF065">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6197E9D7">
            <w:pPr>
              <w:jc w:val="center"/>
              <w:rPr>
                <w:rFonts w:hint="eastAsia" w:ascii="仿宋" w:hAnsi="仿宋" w:eastAsia="仿宋" w:cs="仿宋"/>
                <w:i w:val="0"/>
                <w:iCs w:val="0"/>
                <w:color w:val="000000"/>
                <w:sz w:val="22"/>
                <w:szCs w:val="22"/>
                <w:u w:val="none"/>
              </w:rPr>
            </w:pPr>
          </w:p>
        </w:tc>
      </w:tr>
      <w:tr w14:paraId="68F9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4FC89F0E">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54DDC1D8">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3AF751EF">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710DD032">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0C1EA82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④是否与预算确定的项目投资额或资金量相匹配（0-0.5分）。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56053F8E">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38EDE0C8">
            <w:pPr>
              <w:jc w:val="center"/>
              <w:rPr>
                <w:rFonts w:hint="eastAsia" w:ascii="仿宋" w:hAnsi="仿宋" w:eastAsia="仿宋" w:cs="仿宋"/>
                <w:i w:val="0"/>
                <w:iCs w:val="0"/>
                <w:color w:val="000000"/>
                <w:sz w:val="22"/>
                <w:szCs w:val="22"/>
                <w:u w:val="none"/>
              </w:rPr>
            </w:pPr>
          </w:p>
        </w:tc>
      </w:tr>
      <w:tr w14:paraId="3D43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42F4A521">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245F3A7F">
            <w:pPr>
              <w:jc w:val="center"/>
              <w:rPr>
                <w:rFonts w:hint="eastAsia" w:ascii="仿宋" w:hAnsi="仿宋" w:eastAsia="仿宋" w:cs="仿宋"/>
                <w:i w:val="0"/>
                <w:iCs w:val="0"/>
                <w:color w:val="000000"/>
                <w:sz w:val="22"/>
                <w:szCs w:val="22"/>
                <w:u w:val="none"/>
              </w:rPr>
            </w:pP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6985B49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绩效指标明确性</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4C68FF1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依据绩效目标设定的绩效指标是否清晰、细化、可衡量等，用以反映和考核项目绩效目标的明细化情况。</w:t>
            </w:r>
          </w:p>
        </w:tc>
        <w:tc>
          <w:tcPr>
            <w:tcW w:w="5236" w:type="dxa"/>
            <w:tcBorders>
              <w:top w:val="nil"/>
              <w:left w:val="single" w:color="000000" w:sz="8" w:space="0"/>
              <w:bottom w:val="nil"/>
              <w:right w:val="single" w:color="000000" w:sz="8" w:space="0"/>
            </w:tcBorders>
            <w:shd w:val="clear" w:color="auto" w:fill="FFFFFF"/>
            <w:vAlign w:val="center"/>
          </w:tcPr>
          <w:p w14:paraId="2E61469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41DF5A3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4D5CB11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49F6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40094408">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11F4B158">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038055E9">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5B99E686">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15F756A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①是否将项目绩效目标细化分解为具体的绩效指标（0-1分）；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12A903BC">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0F08637D">
            <w:pPr>
              <w:jc w:val="center"/>
              <w:rPr>
                <w:rFonts w:hint="eastAsia" w:ascii="仿宋" w:hAnsi="仿宋" w:eastAsia="仿宋" w:cs="仿宋"/>
                <w:i w:val="0"/>
                <w:iCs w:val="0"/>
                <w:color w:val="000000"/>
                <w:sz w:val="22"/>
                <w:szCs w:val="22"/>
                <w:u w:val="none"/>
              </w:rPr>
            </w:pPr>
          </w:p>
        </w:tc>
      </w:tr>
      <w:tr w14:paraId="4F56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33ABD715">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6FD87757">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5287702E">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46C5508A">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5EB3DE0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②是否通过清晰、可衡量的指标值予以体现（0-1分）；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50EB1311">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394BC666">
            <w:pPr>
              <w:jc w:val="center"/>
              <w:rPr>
                <w:rFonts w:hint="eastAsia" w:ascii="仿宋" w:hAnsi="仿宋" w:eastAsia="仿宋" w:cs="仿宋"/>
                <w:i w:val="0"/>
                <w:iCs w:val="0"/>
                <w:color w:val="000000"/>
                <w:sz w:val="22"/>
                <w:szCs w:val="22"/>
                <w:u w:val="none"/>
              </w:rPr>
            </w:pPr>
          </w:p>
        </w:tc>
      </w:tr>
      <w:tr w14:paraId="24CD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4A11E68B">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3E2CA075">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0DD96CFF">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0049D75C">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40F44F7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③是否与项目目标任务数或计划数相对应（0-1分）。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32294891">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694D6B07">
            <w:pPr>
              <w:jc w:val="center"/>
              <w:rPr>
                <w:rFonts w:hint="eastAsia" w:ascii="仿宋" w:hAnsi="仿宋" w:eastAsia="仿宋" w:cs="仿宋"/>
                <w:i w:val="0"/>
                <w:iCs w:val="0"/>
                <w:color w:val="000000"/>
                <w:sz w:val="22"/>
                <w:szCs w:val="22"/>
                <w:u w:val="none"/>
              </w:rPr>
            </w:pPr>
          </w:p>
        </w:tc>
      </w:tr>
      <w:tr w14:paraId="0BBB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093D4348">
            <w:pPr>
              <w:jc w:val="center"/>
              <w:rPr>
                <w:rFonts w:hint="eastAsia" w:ascii="仿宋" w:hAnsi="仿宋" w:eastAsia="仿宋" w:cs="仿宋"/>
                <w:i w:val="0"/>
                <w:iCs w:val="0"/>
                <w:color w:val="000000"/>
                <w:sz w:val="22"/>
                <w:szCs w:val="22"/>
                <w:u w:val="none"/>
              </w:rPr>
            </w:pPr>
          </w:p>
        </w:tc>
        <w:tc>
          <w:tcPr>
            <w:tcW w:w="709" w:type="dxa"/>
            <w:vMerge w:val="restart"/>
            <w:tcBorders>
              <w:top w:val="nil"/>
              <w:left w:val="single" w:color="000000" w:sz="8" w:space="0"/>
              <w:bottom w:val="single" w:color="000000" w:sz="8" w:space="0"/>
              <w:right w:val="single" w:color="000000" w:sz="8" w:space="0"/>
            </w:tcBorders>
            <w:shd w:val="clear" w:color="auto" w:fill="FFFFFF"/>
            <w:vAlign w:val="center"/>
          </w:tcPr>
          <w:p w14:paraId="2569A57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资金投入</w:t>
            </w: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41E160F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预算编制科学性</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412279D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项目预算编制是否经过科学论证、有明确标准，资金额度与年度目标是否相适应，用以反映和考核项目预算编制的科学性、合理性情况。</w:t>
            </w:r>
          </w:p>
        </w:tc>
        <w:tc>
          <w:tcPr>
            <w:tcW w:w="5236" w:type="dxa"/>
            <w:tcBorders>
              <w:top w:val="nil"/>
              <w:left w:val="single" w:color="000000" w:sz="8" w:space="0"/>
              <w:bottom w:val="nil"/>
              <w:right w:val="single" w:color="000000" w:sz="8" w:space="0"/>
            </w:tcBorders>
            <w:shd w:val="clear" w:color="auto" w:fill="FFFFFF"/>
            <w:vAlign w:val="center"/>
          </w:tcPr>
          <w:p w14:paraId="78C6C8C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74D849C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5A698AE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45D2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344B5A21">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1AD8CC3D">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12EF7207">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3FD7C119">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2697B6E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①预算编制是否经过科学论证；</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3AFB8539">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79D17762">
            <w:pPr>
              <w:jc w:val="center"/>
              <w:rPr>
                <w:rFonts w:hint="eastAsia" w:ascii="仿宋" w:hAnsi="仿宋" w:eastAsia="仿宋" w:cs="仿宋"/>
                <w:i w:val="0"/>
                <w:iCs w:val="0"/>
                <w:color w:val="000000"/>
                <w:sz w:val="22"/>
                <w:szCs w:val="22"/>
                <w:u w:val="none"/>
              </w:rPr>
            </w:pPr>
          </w:p>
        </w:tc>
      </w:tr>
      <w:tr w14:paraId="10BD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5B5E5FB9">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40CBE0B3">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756B2303">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5CABC239">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0A2ACB0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②预算内容与项目内容是否匹配；</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1D969F58">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42DE3EE9">
            <w:pPr>
              <w:jc w:val="center"/>
              <w:rPr>
                <w:rFonts w:hint="eastAsia" w:ascii="仿宋" w:hAnsi="仿宋" w:eastAsia="仿宋" w:cs="仿宋"/>
                <w:i w:val="0"/>
                <w:iCs w:val="0"/>
                <w:color w:val="000000"/>
                <w:sz w:val="22"/>
                <w:szCs w:val="22"/>
                <w:u w:val="none"/>
              </w:rPr>
            </w:pPr>
          </w:p>
        </w:tc>
      </w:tr>
      <w:tr w14:paraId="6FBCE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3CFA8A41">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16BB8B6A">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341410CB">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175052F7">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7C42577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③预算额度测算依据是否充分，是否按照标准编制；</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5790E8F1">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5DDA89FE">
            <w:pPr>
              <w:jc w:val="center"/>
              <w:rPr>
                <w:rFonts w:hint="eastAsia" w:ascii="仿宋" w:hAnsi="仿宋" w:eastAsia="仿宋" w:cs="仿宋"/>
                <w:i w:val="0"/>
                <w:iCs w:val="0"/>
                <w:color w:val="000000"/>
                <w:sz w:val="22"/>
                <w:szCs w:val="22"/>
                <w:u w:val="none"/>
              </w:rPr>
            </w:pPr>
          </w:p>
        </w:tc>
      </w:tr>
      <w:tr w14:paraId="707E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6B14EC6B">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6254DFDD">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30622CE0">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1446BB6D">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0446C95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④预算确定的项目投资额或资金量是否与工作任务相匹配。</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77C4ACBD">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05175031">
            <w:pPr>
              <w:jc w:val="center"/>
              <w:rPr>
                <w:rFonts w:hint="eastAsia" w:ascii="仿宋" w:hAnsi="仿宋" w:eastAsia="仿宋" w:cs="仿宋"/>
                <w:i w:val="0"/>
                <w:iCs w:val="0"/>
                <w:color w:val="000000"/>
                <w:sz w:val="22"/>
                <w:szCs w:val="22"/>
                <w:u w:val="none"/>
              </w:rPr>
            </w:pPr>
          </w:p>
        </w:tc>
      </w:tr>
      <w:tr w14:paraId="3B89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4B226BF0">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7BE31C03">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276C6CE2">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1D971C87">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4C11B2F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以上每项0.5分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4F389946">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79257027">
            <w:pPr>
              <w:jc w:val="center"/>
              <w:rPr>
                <w:rFonts w:hint="eastAsia" w:ascii="仿宋" w:hAnsi="仿宋" w:eastAsia="仿宋" w:cs="仿宋"/>
                <w:i w:val="0"/>
                <w:iCs w:val="0"/>
                <w:color w:val="000000"/>
                <w:sz w:val="22"/>
                <w:szCs w:val="22"/>
                <w:u w:val="none"/>
              </w:rPr>
            </w:pPr>
          </w:p>
        </w:tc>
      </w:tr>
      <w:tr w14:paraId="6916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686675A3">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13A577B3">
            <w:pPr>
              <w:jc w:val="center"/>
              <w:rPr>
                <w:rFonts w:hint="eastAsia" w:ascii="仿宋" w:hAnsi="仿宋" w:eastAsia="仿宋" w:cs="仿宋"/>
                <w:i w:val="0"/>
                <w:iCs w:val="0"/>
                <w:color w:val="000000"/>
                <w:sz w:val="22"/>
                <w:szCs w:val="22"/>
                <w:u w:val="none"/>
              </w:rPr>
            </w:pP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78AFC46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资金分配合理性</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55244133">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项目预算资金分配是否有测算依据，与补助单位或地方实际是否相适应，用以反映和考核项目预算资金分配的科学性、合理性情况。</w:t>
            </w:r>
          </w:p>
        </w:tc>
        <w:tc>
          <w:tcPr>
            <w:tcW w:w="5236" w:type="dxa"/>
            <w:tcBorders>
              <w:top w:val="nil"/>
              <w:left w:val="single" w:color="000000" w:sz="8" w:space="0"/>
              <w:bottom w:val="nil"/>
              <w:right w:val="single" w:color="000000" w:sz="8" w:space="0"/>
            </w:tcBorders>
            <w:shd w:val="clear" w:color="auto" w:fill="FFFFFF"/>
            <w:vAlign w:val="center"/>
          </w:tcPr>
          <w:p w14:paraId="01FC421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33ADE35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40819B9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r>
      <w:tr w14:paraId="3833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57BB296E">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5B476605">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128D3C4C">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09F68E07">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7EF4A47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①预算资金分配依据是否充分；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726C14D7">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03B4BA00">
            <w:pPr>
              <w:jc w:val="center"/>
              <w:rPr>
                <w:rFonts w:hint="eastAsia" w:ascii="仿宋" w:hAnsi="仿宋" w:eastAsia="仿宋" w:cs="仿宋"/>
                <w:i w:val="0"/>
                <w:iCs w:val="0"/>
                <w:color w:val="000000"/>
                <w:sz w:val="22"/>
                <w:szCs w:val="22"/>
                <w:u w:val="none"/>
              </w:rPr>
            </w:pPr>
          </w:p>
        </w:tc>
      </w:tr>
      <w:tr w14:paraId="0E63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34E09E75">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0DE8642A">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0DD7489B">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53AE687E">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1664DF3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②资金分配额度是否合理，与项目单位或地方实际是否相适应。</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3B7E8A1A">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30A70FB7">
            <w:pPr>
              <w:jc w:val="center"/>
              <w:rPr>
                <w:rFonts w:hint="eastAsia" w:ascii="仿宋" w:hAnsi="仿宋" w:eastAsia="仿宋" w:cs="仿宋"/>
                <w:i w:val="0"/>
                <w:iCs w:val="0"/>
                <w:color w:val="000000"/>
                <w:sz w:val="22"/>
                <w:szCs w:val="22"/>
                <w:u w:val="none"/>
              </w:rPr>
            </w:pPr>
          </w:p>
        </w:tc>
      </w:tr>
      <w:tr w14:paraId="32CC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6120A58E">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5A7BE38C">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6E0EFA5A">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7FD20ABB">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031B458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以上每项1分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2094C82A">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2D2EA87C">
            <w:pPr>
              <w:jc w:val="center"/>
              <w:rPr>
                <w:rFonts w:hint="eastAsia" w:ascii="仿宋" w:hAnsi="仿宋" w:eastAsia="仿宋" w:cs="仿宋"/>
                <w:i w:val="0"/>
                <w:iCs w:val="0"/>
                <w:color w:val="000000"/>
                <w:sz w:val="22"/>
                <w:szCs w:val="22"/>
                <w:u w:val="none"/>
              </w:rPr>
            </w:pPr>
          </w:p>
        </w:tc>
      </w:tr>
      <w:tr w14:paraId="587D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restart"/>
            <w:tcBorders>
              <w:top w:val="nil"/>
              <w:left w:val="single" w:color="000000" w:sz="8" w:space="0"/>
              <w:bottom w:val="single" w:color="000000" w:sz="8" w:space="0"/>
              <w:right w:val="single" w:color="000000" w:sz="8" w:space="0"/>
            </w:tcBorders>
            <w:shd w:val="clear" w:color="auto" w:fill="FFFFFF"/>
            <w:vAlign w:val="center"/>
          </w:tcPr>
          <w:p w14:paraId="2E54E1D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过程</w:t>
            </w:r>
          </w:p>
        </w:tc>
        <w:tc>
          <w:tcPr>
            <w:tcW w:w="709" w:type="dxa"/>
            <w:vMerge w:val="restart"/>
            <w:tcBorders>
              <w:top w:val="nil"/>
              <w:left w:val="single" w:color="000000" w:sz="8" w:space="0"/>
              <w:bottom w:val="single" w:color="000000" w:sz="8" w:space="0"/>
              <w:right w:val="single" w:color="000000" w:sz="8" w:space="0"/>
            </w:tcBorders>
            <w:shd w:val="clear" w:color="auto" w:fill="FFFFFF"/>
            <w:vAlign w:val="center"/>
          </w:tcPr>
          <w:p w14:paraId="659EFE8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资金管理</w:t>
            </w: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06F6710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资金到位率</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6DFCFEF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实际到位资金与预算资金的比率，用以反映和考核资金落实情况对项目实施的总体保障程度。</w:t>
            </w:r>
          </w:p>
        </w:tc>
        <w:tc>
          <w:tcPr>
            <w:tcW w:w="5236" w:type="dxa"/>
            <w:tcBorders>
              <w:top w:val="nil"/>
              <w:left w:val="single" w:color="000000" w:sz="8" w:space="0"/>
              <w:bottom w:val="nil"/>
              <w:right w:val="single" w:color="000000" w:sz="8" w:space="0"/>
            </w:tcBorders>
            <w:shd w:val="clear" w:color="auto" w:fill="FFFFFF"/>
            <w:vAlign w:val="center"/>
          </w:tcPr>
          <w:p w14:paraId="4A021AC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资金到位率=（实际到位资金/预算资金）×100%。</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7C79C80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5CED137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14:paraId="3BD8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101DF87C">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60BE58DD">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3020539C">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45AA7DAB">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3491536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实际到位资金：一定时期（本年度或项目期）内落实到具体项目的资金。</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57B0F8C7">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04524F2F">
            <w:pPr>
              <w:jc w:val="center"/>
              <w:rPr>
                <w:rFonts w:hint="eastAsia" w:ascii="仿宋" w:hAnsi="仿宋" w:eastAsia="仿宋" w:cs="仿宋"/>
                <w:i w:val="0"/>
                <w:iCs w:val="0"/>
                <w:color w:val="000000"/>
                <w:sz w:val="22"/>
                <w:szCs w:val="22"/>
                <w:u w:val="none"/>
              </w:rPr>
            </w:pPr>
          </w:p>
        </w:tc>
      </w:tr>
      <w:tr w14:paraId="4937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696ADB0E">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1544A5E1">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182D4E65">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30E4E91F">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091ACE4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预算资金：一定时期（本年度或项目期）内预算安排到具体项目的资金。</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3D772170">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2686113F">
            <w:pPr>
              <w:jc w:val="center"/>
              <w:rPr>
                <w:rFonts w:hint="eastAsia" w:ascii="仿宋" w:hAnsi="仿宋" w:eastAsia="仿宋" w:cs="仿宋"/>
                <w:i w:val="0"/>
                <w:iCs w:val="0"/>
                <w:color w:val="000000"/>
                <w:sz w:val="22"/>
                <w:szCs w:val="22"/>
                <w:u w:val="none"/>
              </w:rPr>
            </w:pPr>
          </w:p>
        </w:tc>
      </w:tr>
      <w:tr w14:paraId="41CF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40AA56B8">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4E141E98">
            <w:pPr>
              <w:jc w:val="center"/>
              <w:rPr>
                <w:rFonts w:hint="eastAsia" w:ascii="仿宋" w:hAnsi="仿宋" w:eastAsia="仿宋" w:cs="仿宋"/>
                <w:i w:val="0"/>
                <w:iCs w:val="0"/>
                <w:color w:val="000000"/>
                <w:sz w:val="22"/>
                <w:szCs w:val="22"/>
                <w:u w:val="none"/>
              </w:rPr>
            </w:pP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378B21C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预算执行率</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722CADD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项目预算资金是否按照计划执行，用以反映或考核项目预算执行情况。</w:t>
            </w:r>
          </w:p>
        </w:tc>
        <w:tc>
          <w:tcPr>
            <w:tcW w:w="5236" w:type="dxa"/>
            <w:tcBorders>
              <w:top w:val="nil"/>
              <w:left w:val="single" w:color="000000" w:sz="8" w:space="0"/>
              <w:bottom w:val="nil"/>
              <w:right w:val="single" w:color="000000" w:sz="8" w:space="0"/>
            </w:tcBorders>
            <w:shd w:val="clear" w:color="auto" w:fill="FFFFFF"/>
            <w:vAlign w:val="center"/>
          </w:tcPr>
          <w:p w14:paraId="1D46A47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预算执行率=（实际支出资金/实际到位资金）×100%。</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1EBE921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6631B10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14:paraId="5FBF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55A93098">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238191D9">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0E31DE0A">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26BB239B">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7F8DDFB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实际支出资金：一定时期（本年度或项目期）内项目实际拨付的资金。</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3CE91E51">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0FD40F85">
            <w:pPr>
              <w:jc w:val="center"/>
              <w:rPr>
                <w:rFonts w:hint="eastAsia" w:ascii="仿宋" w:hAnsi="仿宋" w:eastAsia="仿宋" w:cs="仿宋"/>
                <w:i w:val="0"/>
                <w:iCs w:val="0"/>
                <w:color w:val="000000"/>
                <w:sz w:val="22"/>
                <w:szCs w:val="22"/>
                <w:u w:val="none"/>
              </w:rPr>
            </w:pPr>
          </w:p>
        </w:tc>
      </w:tr>
      <w:tr w14:paraId="7B23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2DF6AB4C">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2ABC86E8">
            <w:pPr>
              <w:jc w:val="center"/>
              <w:rPr>
                <w:rFonts w:hint="eastAsia" w:ascii="仿宋" w:hAnsi="仿宋" w:eastAsia="仿宋" w:cs="仿宋"/>
                <w:i w:val="0"/>
                <w:iCs w:val="0"/>
                <w:color w:val="000000"/>
                <w:sz w:val="22"/>
                <w:szCs w:val="22"/>
                <w:u w:val="none"/>
              </w:rPr>
            </w:pP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2D11B27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资金使用合规性</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6421681C">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项目资金使用是否符合相关的财务管理制度规定，用以反映和考核项目资金的规范运行情况。</w:t>
            </w:r>
          </w:p>
        </w:tc>
        <w:tc>
          <w:tcPr>
            <w:tcW w:w="5236" w:type="dxa"/>
            <w:tcBorders>
              <w:top w:val="nil"/>
              <w:left w:val="single" w:color="000000" w:sz="8" w:space="0"/>
              <w:bottom w:val="nil"/>
              <w:right w:val="single" w:color="000000" w:sz="8" w:space="0"/>
            </w:tcBorders>
            <w:shd w:val="clear" w:color="auto" w:fill="FFFFFF"/>
            <w:vAlign w:val="center"/>
          </w:tcPr>
          <w:p w14:paraId="15B4034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66ACDC6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7D3F4A7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14:paraId="306D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16106844">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34BD7787">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6DF8207D">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2BB14BA4">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05B89FB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①是否符合国家财经法规和财务管理制度以及有关专项资金管理办法的规定（0-2分）；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432DF43F">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42763F06">
            <w:pPr>
              <w:jc w:val="center"/>
              <w:rPr>
                <w:rFonts w:hint="eastAsia" w:ascii="仿宋" w:hAnsi="仿宋" w:eastAsia="仿宋" w:cs="仿宋"/>
                <w:i w:val="0"/>
                <w:iCs w:val="0"/>
                <w:color w:val="000000"/>
                <w:sz w:val="22"/>
                <w:szCs w:val="22"/>
                <w:u w:val="none"/>
              </w:rPr>
            </w:pPr>
          </w:p>
        </w:tc>
      </w:tr>
      <w:tr w14:paraId="11BE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6739389A">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44E0709D">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616CEE06">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348B8B0A">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7160174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②资金的拨付是否有完整的审批程序和手续（0-1分）；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574CA66B">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0A393298">
            <w:pPr>
              <w:jc w:val="center"/>
              <w:rPr>
                <w:rFonts w:hint="eastAsia" w:ascii="仿宋" w:hAnsi="仿宋" w:eastAsia="仿宋" w:cs="仿宋"/>
                <w:i w:val="0"/>
                <w:iCs w:val="0"/>
                <w:color w:val="000000"/>
                <w:sz w:val="22"/>
                <w:szCs w:val="22"/>
                <w:u w:val="none"/>
              </w:rPr>
            </w:pPr>
          </w:p>
        </w:tc>
      </w:tr>
      <w:tr w14:paraId="6A08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630D5216">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027AC180">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7074F4AE">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323186EB">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093A782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③是否符合项目预算批复或合同规定的用途（0-1分）；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336EE628">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0D0E9A9E">
            <w:pPr>
              <w:jc w:val="center"/>
              <w:rPr>
                <w:rFonts w:hint="eastAsia" w:ascii="仿宋" w:hAnsi="仿宋" w:eastAsia="仿宋" w:cs="仿宋"/>
                <w:i w:val="0"/>
                <w:iCs w:val="0"/>
                <w:color w:val="000000"/>
                <w:sz w:val="22"/>
                <w:szCs w:val="22"/>
                <w:u w:val="none"/>
              </w:rPr>
            </w:pPr>
          </w:p>
        </w:tc>
      </w:tr>
      <w:tr w14:paraId="613D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3A71CAD2">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371B1437">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2A8364E9">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685E7158">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63722BA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④是否存在截留、挤占、挪用、虚列支出等情况（0-1分）。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698B0F80">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12690998">
            <w:pPr>
              <w:jc w:val="center"/>
              <w:rPr>
                <w:rFonts w:hint="eastAsia" w:ascii="仿宋" w:hAnsi="仿宋" w:eastAsia="仿宋" w:cs="仿宋"/>
                <w:i w:val="0"/>
                <w:iCs w:val="0"/>
                <w:color w:val="000000"/>
                <w:sz w:val="22"/>
                <w:szCs w:val="22"/>
                <w:u w:val="none"/>
              </w:rPr>
            </w:pPr>
          </w:p>
        </w:tc>
      </w:tr>
      <w:tr w14:paraId="4365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1EEEA9ED">
            <w:pPr>
              <w:jc w:val="center"/>
              <w:rPr>
                <w:rFonts w:hint="eastAsia" w:ascii="仿宋" w:hAnsi="仿宋" w:eastAsia="仿宋" w:cs="仿宋"/>
                <w:i w:val="0"/>
                <w:iCs w:val="0"/>
                <w:color w:val="000000"/>
                <w:sz w:val="22"/>
                <w:szCs w:val="22"/>
                <w:u w:val="none"/>
              </w:rPr>
            </w:pPr>
          </w:p>
        </w:tc>
        <w:tc>
          <w:tcPr>
            <w:tcW w:w="709" w:type="dxa"/>
            <w:vMerge w:val="restart"/>
            <w:tcBorders>
              <w:top w:val="nil"/>
              <w:left w:val="single" w:color="000000" w:sz="8" w:space="0"/>
              <w:bottom w:val="single" w:color="000000" w:sz="8" w:space="0"/>
              <w:right w:val="single" w:color="000000" w:sz="8" w:space="0"/>
            </w:tcBorders>
            <w:shd w:val="clear" w:color="auto" w:fill="FFFFFF"/>
            <w:vAlign w:val="center"/>
          </w:tcPr>
          <w:p w14:paraId="724CE62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组织实施</w:t>
            </w: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4181546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管理制度健全性</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5E9A151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项目实施单位的财务和业务管理制度是否健全，用以反映和考核财务和业务管理制度对项目顺利实施的保障情况。</w:t>
            </w:r>
          </w:p>
        </w:tc>
        <w:tc>
          <w:tcPr>
            <w:tcW w:w="5236" w:type="dxa"/>
            <w:tcBorders>
              <w:top w:val="nil"/>
              <w:left w:val="single" w:color="000000" w:sz="8" w:space="0"/>
              <w:bottom w:val="nil"/>
              <w:right w:val="single" w:color="000000" w:sz="8" w:space="0"/>
            </w:tcBorders>
            <w:shd w:val="clear" w:color="auto" w:fill="FFFFFF"/>
            <w:vAlign w:val="center"/>
          </w:tcPr>
          <w:p w14:paraId="48C09DA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4F6018E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159BEE2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14:paraId="4D27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1CE654A3">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4ACA587C">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7634CD2C">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69CB0F51">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0F4BE77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①是否已制定或具有相应的财务和业务管理制度（0-3分）；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73D793F2">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446B9456">
            <w:pPr>
              <w:jc w:val="center"/>
              <w:rPr>
                <w:rFonts w:hint="eastAsia" w:ascii="仿宋" w:hAnsi="仿宋" w:eastAsia="仿宋" w:cs="仿宋"/>
                <w:i w:val="0"/>
                <w:iCs w:val="0"/>
                <w:color w:val="000000"/>
                <w:sz w:val="22"/>
                <w:szCs w:val="22"/>
                <w:u w:val="none"/>
              </w:rPr>
            </w:pPr>
          </w:p>
        </w:tc>
      </w:tr>
      <w:tr w14:paraId="0BBC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54858A93">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5581037A">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3664501E">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46E4F134">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22C0DED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②财务和业务管理制度是否合法、合规、完整（0-2分）。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76C50083">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786FAA0C">
            <w:pPr>
              <w:jc w:val="center"/>
              <w:rPr>
                <w:rFonts w:hint="eastAsia" w:ascii="仿宋" w:hAnsi="仿宋" w:eastAsia="仿宋" w:cs="仿宋"/>
                <w:i w:val="0"/>
                <w:iCs w:val="0"/>
                <w:color w:val="000000"/>
                <w:sz w:val="22"/>
                <w:szCs w:val="22"/>
                <w:u w:val="none"/>
              </w:rPr>
            </w:pPr>
          </w:p>
        </w:tc>
      </w:tr>
      <w:tr w14:paraId="3F89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3A7FDE9F">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0DC7C86D">
            <w:pPr>
              <w:jc w:val="center"/>
              <w:rPr>
                <w:rFonts w:hint="eastAsia" w:ascii="仿宋" w:hAnsi="仿宋" w:eastAsia="仿宋" w:cs="仿宋"/>
                <w:i w:val="0"/>
                <w:iCs w:val="0"/>
                <w:color w:val="000000"/>
                <w:sz w:val="22"/>
                <w:szCs w:val="22"/>
                <w:u w:val="none"/>
              </w:rPr>
            </w:pP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62C071F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制度执行有效性</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38FB01F4">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项目实施是否符合相关管理规定，用以反映和考核相关管理制度的有效执行情况。</w:t>
            </w:r>
          </w:p>
        </w:tc>
        <w:tc>
          <w:tcPr>
            <w:tcW w:w="5236" w:type="dxa"/>
            <w:tcBorders>
              <w:top w:val="nil"/>
              <w:left w:val="single" w:color="000000" w:sz="8" w:space="0"/>
              <w:bottom w:val="nil"/>
              <w:right w:val="single" w:color="000000" w:sz="8" w:space="0"/>
            </w:tcBorders>
            <w:shd w:val="clear" w:color="auto" w:fill="FFFFFF"/>
            <w:vAlign w:val="center"/>
          </w:tcPr>
          <w:p w14:paraId="409CCA7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评价要点：</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282AA08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7179E44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14:paraId="2342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06234CDD">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7744581B">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3ADA8127">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16BD3284">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56C61A4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①是否遵守相关法律法规和相关管理规定（0-2分）；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72035BBA">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2303F014">
            <w:pPr>
              <w:jc w:val="center"/>
              <w:rPr>
                <w:rFonts w:hint="eastAsia" w:ascii="仿宋" w:hAnsi="仿宋" w:eastAsia="仿宋" w:cs="仿宋"/>
                <w:i w:val="0"/>
                <w:iCs w:val="0"/>
                <w:color w:val="000000"/>
                <w:sz w:val="22"/>
                <w:szCs w:val="22"/>
                <w:u w:val="none"/>
              </w:rPr>
            </w:pPr>
          </w:p>
        </w:tc>
      </w:tr>
      <w:tr w14:paraId="26BB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49FF42E0">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76C86DF6">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6640DE09">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31EBC916">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5928B1B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②项目调整及支出调整手续是否完备（0-2分）；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4CC5E1DF">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1511FEE0">
            <w:pPr>
              <w:jc w:val="center"/>
              <w:rPr>
                <w:rFonts w:hint="eastAsia" w:ascii="仿宋" w:hAnsi="仿宋" w:eastAsia="仿宋" w:cs="仿宋"/>
                <w:i w:val="0"/>
                <w:iCs w:val="0"/>
                <w:color w:val="000000"/>
                <w:sz w:val="22"/>
                <w:szCs w:val="22"/>
                <w:u w:val="none"/>
              </w:rPr>
            </w:pPr>
          </w:p>
        </w:tc>
      </w:tr>
      <w:tr w14:paraId="2D32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067A41FE">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14DC508D">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05E95111">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3326AE77">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0F63985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③项目实施的人员条件、场地设备、信息支撑等是否落实到位（0-1分）。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541D1B6B">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4A2F68CE">
            <w:pPr>
              <w:jc w:val="center"/>
              <w:rPr>
                <w:rFonts w:hint="eastAsia" w:ascii="仿宋" w:hAnsi="仿宋" w:eastAsia="仿宋" w:cs="仿宋"/>
                <w:i w:val="0"/>
                <w:iCs w:val="0"/>
                <w:color w:val="000000"/>
                <w:sz w:val="22"/>
                <w:szCs w:val="22"/>
                <w:u w:val="none"/>
              </w:rPr>
            </w:pPr>
          </w:p>
        </w:tc>
      </w:tr>
      <w:tr w14:paraId="7BEF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restart"/>
            <w:tcBorders>
              <w:top w:val="nil"/>
              <w:left w:val="single" w:color="000000" w:sz="8" w:space="0"/>
              <w:bottom w:val="nil"/>
              <w:right w:val="single" w:color="000000" w:sz="8" w:space="0"/>
            </w:tcBorders>
            <w:shd w:val="clear" w:color="auto" w:fill="FFFFFF"/>
            <w:vAlign w:val="center"/>
          </w:tcPr>
          <w:p w14:paraId="058F3B7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w:t>
            </w:r>
          </w:p>
        </w:tc>
        <w:tc>
          <w:tcPr>
            <w:tcW w:w="709" w:type="dxa"/>
            <w:vMerge w:val="restart"/>
            <w:tcBorders>
              <w:top w:val="nil"/>
              <w:left w:val="single" w:color="000000" w:sz="8" w:space="0"/>
              <w:bottom w:val="single" w:color="000000" w:sz="8" w:space="0"/>
              <w:right w:val="single" w:color="000000" w:sz="8" w:space="0"/>
            </w:tcBorders>
            <w:shd w:val="clear" w:color="auto" w:fill="FFFFFF"/>
            <w:vAlign w:val="center"/>
          </w:tcPr>
          <w:p w14:paraId="7D90731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产出数量</w:t>
            </w: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4BAA935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办理一审公诉案件完成率</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02413291">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项目实施的实际产出数与计划产出数的比率，用以反映和考核项目产出数量目标的实现程度。</w:t>
            </w:r>
          </w:p>
        </w:tc>
        <w:tc>
          <w:tcPr>
            <w:tcW w:w="5236" w:type="dxa"/>
            <w:tcBorders>
              <w:top w:val="nil"/>
              <w:left w:val="single" w:color="000000" w:sz="8" w:space="0"/>
              <w:bottom w:val="nil"/>
              <w:right w:val="single" w:color="000000" w:sz="8" w:space="0"/>
            </w:tcBorders>
            <w:shd w:val="clear" w:color="auto" w:fill="FFFFFF"/>
            <w:vAlign w:val="center"/>
          </w:tcPr>
          <w:p w14:paraId="3F577C0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实际完成率=（实际产出数/计划产出数）×100%。</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7140C61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2011980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289B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103B0A91">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683C4FDA">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61169B1D">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3A3E6706">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0B4B689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实际产出数：一定时期（本年度或项目期）内项目实际产出的产品或提供的服务数量。</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54137413">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4E19F2FA">
            <w:pPr>
              <w:jc w:val="center"/>
              <w:rPr>
                <w:rFonts w:hint="eastAsia" w:ascii="仿宋" w:hAnsi="仿宋" w:eastAsia="仿宋" w:cs="仿宋"/>
                <w:i w:val="0"/>
                <w:iCs w:val="0"/>
                <w:color w:val="000000"/>
                <w:sz w:val="22"/>
                <w:szCs w:val="22"/>
                <w:u w:val="none"/>
              </w:rPr>
            </w:pPr>
          </w:p>
        </w:tc>
      </w:tr>
      <w:tr w14:paraId="390B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555D9E23">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1D384056">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490BBE72">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0F7FC877">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0F4842E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计划产出数：项目绩效目标确定的在一定时期（本年度或项目期）内计划产出的产品或提供的服务数量。</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388BC51F">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2B8E775F">
            <w:pPr>
              <w:jc w:val="center"/>
              <w:rPr>
                <w:rFonts w:hint="eastAsia" w:ascii="仿宋" w:hAnsi="仿宋" w:eastAsia="仿宋" w:cs="仿宋"/>
                <w:i w:val="0"/>
                <w:iCs w:val="0"/>
                <w:color w:val="000000"/>
                <w:sz w:val="22"/>
                <w:szCs w:val="22"/>
                <w:u w:val="none"/>
              </w:rPr>
            </w:pPr>
          </w:p>
        </w:tc>
      </w:tr>
      <w:tr w14:paraId="18F4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5D130387">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477210D3">
            <w:pPr>
              <w:jc w:val="center"/>
              <w:rPr>
                <w:rFonts w:hint="eastAsia" w:ascii="仿宋" w:hAnsi="仿宋" w:eastAsia="仿宋" w:cs="仿宋"/>
                <w:i w:val="0"/>
                <w:iCs w:val="0"/>
                <w:color w:val="000000"/>
                <w:sz w:val="22"/>
                <w:szCs w:val="22"/>
                <w:u w:val="none"/>
              </w:rPr>
            </w:pP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16074AA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认罪认罚案件完成率</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1287E5A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项目实施的实际产出数与计划产出数的比率，用以反映和考核项目产出数量目标的实现程度。</w:t>
            </w:r>
          </w:p>
        </w:tc>
        <w:tc>
          <w:tcPr>
            <w:tcW w:w="5236" w:type="dxa"/>
            <w:tcBorders>
              <w:top w:val="nil"/>
              <w:left w:val="single" w:color="000000" w:sz="8" w:space="0"/>
              <w:bottom w:val="nil"/>
              <w:right w:val="single" w:color="000000" w:sz="8" w:space="0"/>
            </w:tcBorders>
            <w:shd w:val="clear" w:color="auto" w:fill="FFFFFF"/>
            <w:vAlign w:val="center"/>
          </w:tcPr>
          <w:p w14:paraId="1153F05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实际完成率=（实际产出数/计划产出数）×100%。</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408C5BC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77103DD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2CDA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46A2B3F2">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408C0455">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6B484616">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35CE7AC9">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65C5086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实际产出数：一定时期（本年度或项目期）内项目实际产出的产品或提供的服务数量。</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31091463">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76A0B7CE">
            <w:pPr>
              <w:jc w:val="center"/>
              <w:rPr>
                <w:rFonts w:hint="eastAsia" w:ascii="仿宋" w:hAnsi="仿宋" w:eastAsia="仿宋" w:cs="仿宋"/>
                <w:i w:val="0"/>
                <w:iCs w:val="0"/>
                <w:color w:val="000000"/>
                <w:sz w:val="22"/>
                <w:szCs w:val="22"/>
                <w:u w:val="none"/>
              </w:rPr>
            </w:pPr>
          </w:p>
        </w:tc>
      </w:tr>
      <w:tr w14:paraId="4E1F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04DD0F98">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600E4B0E">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02B78C39">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1C8A3E6E">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308AE5C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计划产出数：项目绩效目标确定的在一定时期（本年度或项目期）内计划产出的产品或提供的服务数量。</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1CBF7B6F">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608ED628">
            <w:pPr>
              <w:jc w:val="center"/>
              <w:rPr>
                <w:rFonts w:hint="eastAsia" w:ascii="仿宋" w:hAnsi="仿宋" w:eastAsia="仿宋" w:cs="仿宋"/>
                <w:i w:val="0"/>
                <w:iCs w:val="0"/>
                <w:color w:val="000000"/>
                <w:sz w:val="22"/>
                <w:szCs w:val="22"/>
                <w:u w:val="none"/>
              </w:rPr>
            </w:pPr>
          </w:p>
        </w:tc>
      </w:tr>
      <w:tr w14:paraId="5FD34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3475DBDC">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4A632D19">
            <w:pPr>
              <w:jc w:val="center"/>
              <w:rPr>
                <w:rFonts w:hint="eastAsia" w:ascii="仿宋" w:hAnsi="仿宋" w:eastAsia="仿宋" w:cs="仿宋"/>
                <w:i w:val="0"/>
                <w:iCs w:val="0"/>
                <w:color w:val="000000"/>
                <w:sz w:val="22"/>
                <w:szCs w:val="22"/>
                <w:u w:val="none"/>
              </w:rPr>
            </w:pP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6AD56CD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委托业务服务完成率</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7F78A3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项目实施的实际产出数与计划产出数的比率，用以反映和考核项目产出数量目标的实现程度。</w:t>
            </w:r>
          </w:p>
        </w:tc>
        <w:tc>
          <w:tcPr>
            <w:tcW w:w="5236" w:type="dxa"/>
            <w:tcBorders>
              <w:top w:val="nil"/>
              <w:left w:val="single" w:color="000000" w:sz="8" w:space="0"/>
              <w:bottom w:val="nil"/>
              <w:right w:val="single" w:color="000000" w:sz="8" w:space="0"/>
            </w:tcBorders>
            <w:shd w:val="clear" w:color="auto" w:fill="FFFFFF"/>
            <w:vAlign w:val="center"/>
          </w:tcPr>
          <w:p w14:paraId="19CBDAD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实际完成率=（实际产出数/计划产出数）×100%。</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11911DC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54B2CE0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7488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6E242870">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5D76B7A1">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38F6DB70">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1B66AACB">
            <w:pPr>
              <w:jc w:val="left"/>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13B5730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实际产出数：一定时期（本年度或项目期）内项目实际产出的产品或提供的服务数量。</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78533038">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7A2B5ADF">
            <w:pPr>
              <w:jc w:val="center"/>
              <w:rPr>
                <w:rFonts w:hint="eastAsia" w:ascii="仿宋" w:hAnsi="仿宋" w:eastAsia="仿宋" w:cs="仿宋"/>
                <w:i w:val="0"/>
                <w:iCs w:val="0"/>
                <w:color w:val="000000"/>
                <w:sz w:val="22"/>
                <w:szCs w:val="22"/>
                <w:u w:val="none"/>
              </w:rPr>
            </w:pPr>
          </w:p>
        </w:tc>
      </w:tr>
      <w:tr w14:paraId="0727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30FD635A">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0C50DC7D">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5765B4F5">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03181301">
            <w:pPr>
              <w:jc w:val="left"/>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0CB7A22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计划产出数：项目绩效目标确定的在一定时期（本年度或项目期）内计划产出的产品或提供的服务数量。</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59EEA37B">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61059F83">
            <w:pPr>
              <w:jc w:val="center"/>
              <w:rPr>
                <w:rFonts w:hint="eastAsia" w:ascii="仿宋" w:hAnsi="仿宋" w:eastAsia="仿宋" w:cs="仿宋"/>
                <w:i w:val="0"/>
                <w:iCs w:val="0"/>
                <w:color w:val="000000"/>
                <w:sz w:val="22"/>
                <w:szCs w:val="22"/>
                <w:u w:val="none"/>
              </w:rPr>
            </w:pPr>
          </w:p>
        </w:tc>
      </w:tr>
      <w:tr w14:paraId="6528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65D9B2A1">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4A8B248C">
            <w:pPr>
              <w:jc w:val="center"/>
              <w:rPr>
                <w:rFonts w:hint="eastAsia" w:ascii="仿宋" w:hAnsi="仿宋" w:eastAsia="仿宋" w:cs="仿宋"/>
                <w:i w:val="0"/>
                <w:iCs w:val="0"/>
                <w:color w:val="000000"/>
                <w:sz w:val="22"/>
                <w:szCs w:val="22"/>
                <w:u w:val="none"/>
              </w:rPr>
            </w:pP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5F67BA6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公务用车维护完成率</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1C678B1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项目实施的实际产出数与计划产出数的比率，用以反映和考核项目产出数量目标的实现程度。</w:t>
            </w:r>
          </w:p>
        </w:tc>
        <w:tc>
          <w:tcPr>
            <w:tcW w:w="5236" w:type="dxa"/>
            <w:tcBorders>
              <w:top w:val="nil"/>
              <w:left w:val="single" w:color="000000" w:sz="8" w:space="0"/>
              <w:bottom w:val="nil"/>
              <w:right w:val="single" w:color="000000" w:sz="8" w:space="0"/>
            </w:tcBorders>
            <w:shd w:val="clear" w:color="auto" w:fill="FFFFFF"/>
            <w:vAlign w:val="center"/>
          </w:tcPr>
          <w:p w14:paraId="42392F3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实际完成率=（实际产出数/计划产出数）×100%。</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46762CE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0C367B6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485A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3B90F3D3">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5868F459">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3A8F4B46">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37BF4F54">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44DCC28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实际产出数：一定时期（本年度或项目期）内项目实际产出的产品或提供的服务数量。</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75337DB9">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28249DB4">
            <w:pPr>
              <w:jc w:val="center"/>
              <w:rPr>
                <w:rFonts w:hint="eastAsia" w:ascii="仿宋" w:hAnsi="仿宋" w:eastAsia="仿宋" w:cs="仿宋"/>
                <w:i w:val="0"/>
                <w:iCs w:val="0"/>
                <w:color w:val="000000"/>
                <w:sz w:val="22"/>
                <w:szCs w:val="22"/>
                <w:u w:val="none"/>
              </w:rPr>
            </w:pPr>
          </w:p>
        </w:tc>
      </w:tr>
      <w:tr w14:paraId="6557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6427E0ED">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1B60248B">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0060306C">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1FAE49C4">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3A30422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计划产出数：项目绩效目标确定的在一定时期（本年度或项目期）内计划产出的产品或提供的服务数量。</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2EDF5B99">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597BD9E5">
            <w:pPr>
              <w:jc w:val="center"/>
              <w:rPr>
                <w:rFonts w:hint="eastAsia" w:ascii="仿宋" w:hAnsi="仿宋" w:eastAsia="仿宋" w:cs="仿宋"/>
                <w:i w:val="0"/>
                <w:iCs w:val="0"/>
                <w:color w:val="000000"/>
                <w:sz w:val="22"/>
                <w:szCs w:val="22"/>
                <w:u w:val="none"/>
              </w:rPr>
            </w:pPr>
          </w:p>
        </w:tc>
      </w:tr>
      <w:tr w14:paraId="76D6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2E45302D">
            <w:pPr>
              <w:jc w:val="center"/>
              <w:rPr>
                <w:rFonts w:hint="eastAsia" w:ascii="仿宋" w:hAnsi="仿宋" w:eastAsia="仿宋" w:cs="仿宋"/>
                <w:i w:val="0"/>
                <w:iCs w:val="0"/>
                <w:color w:val="000000"/>
                <w:sz w:val="22"/>
                <w:szCs w:val="22"/>
                <w:u w:val="none"/>
              </w:rPr>
            </w:pPr>
          </w:p>
        </w:tc>
        <w:tc>
          <w:tcPr>
            <w:tcW w:w="709" w:type="dxa"/>
            <w:vMerge w:val="restart"/>
            <w:tcBorders>
              <w:top w:val="nil"/>
              <w:left w:val="single" w:color="000000" w:sz="8" w:space="0"/>
              <w:bottom w:val="single" w:color="000000" w:sz="8" w:space="0"/>
              <w:right w:val="single" w:color="000000" w:sz="8" w:space="0"/>
            </w:tcBorders>
            <w:shd w:val="clear" w:color="auto" w:fill="FFFFFF"/>
            <w:vAlign w:val="center"/>
          </w:tcPr>
          <w:p w14:paraId="6A1D0C6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产出质量</w:t>
            </w: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5A096C6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认罪认罚适用率</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08B4A6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项目完成的质量达标产出数与实际产出数的比率，用以反映和考核项目产出质量目标的实现程度。</w:t>
            </w:r>
          </w:p>
        </w:tc>
        <w:tc>
          <w:tcPr>
            <w:tcW w:w="5236" w:type="dxa"/>
            <w:tcBorders>
              <w:top w:val="nil"/>
              <w:left w:val="single" w:color="000000" w:sz="8" w:space="0"/>
              <w:bottom w:val="nil"/>
              <w:right w:val="single" w:color="000000" w:sz="8" w:space="0"/>
            </w:tcBorders>
            <w:shd w:val="clear" w:color="auto" w:fill="FFFFFF"/>
            <w:vAlign w:val="center"/>
          </w:tcPr>
          <w:p w14:paraId="6E23D76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06EDDDF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0969F4E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65D2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7A5F8D2A">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66359A4A">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0F551C43">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5D1C1824">
            <w:pPr>
              <w:jc w:val="left"/>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284445D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认罪认罚适用率大于等于90%得满分，低于按比例进行得分。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4FEE3328">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11D7254E">
            <w:pPr>
              <w:jc w:val="center"/>
              <w:rPr>
                <w:rFonts w:hint="eastAsia" w:ascii="仿宋" w:hAnsi="仿宋" w:eastAsia="仿宋" w:cs="仿宋"/>
                <w:i w:val="0"/>
                <w:iCs w:val="0"/>
                <w:color w:val="000000"/>
                <w:sz w:val="22"/>
                <w:szCs w:val="22"/>
                <w:u w:val="none"/>
              </w:rPr>
            </w:pPr>
          </w:p>
        </w:tc>
      </w:tr>
      <w:tr w14:paraId="5437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24BEB797">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324DECBB">
            <w:pPr>
              <w:jc w:val="center"/>
              <w:rPr>
                <w:rFonts w:hint="eastAsia" w:ascii="仿宋" w:hAnsi="仿宋" w:eastAsia="仿宋" w:cs="仿宋"/>
                <w:i w:val="0"/>
                <w:iCs w:val="0"/>
                <w:color w:val="000000"/>
                <w:sz w:val="22"/>
                <w:szCs w:val="22"/>
                <w:u w:val="none"/>
              </w:rPr>
            </w:pP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69C34DD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公车维护合格率</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67525A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项目完成的质量达标产出数与实际产出数的比率，用以反映和考核项目产出质量目标的实现程度。</w:t>
            </w:r>
          </w:p>
        </w:tc>
        <w:tc>
          <w:tcPr>
            <w:tcW w:w="5236" w:type="dxa"/>
            <w:tcBorders>
              <w:top w:val="nil"/>
              <w:left w:val="single" w:color="000000" w:sz="8" w:space="0"/>
              <w:bottom w:val="nil"/>
              <w:right w:val="single" w:color="000000" w:sz="8" w:space="0"/>
            </w:tcBorders>
            <w:shd w:val="clear" w:color="auto" w:fill="FFFFFF"/>
            <w:vAlign w:val="center"/>
          </w:tcPr>
          <w:p w14:paraId="64BF37C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29A7C80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23E70BC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56BFF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6A4710F5">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4D4272ED">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4B9B4346">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58D47D47">
            <w:pPr>
              <w:jc w:val="left"/>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430C8BB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公车维护合格率等于100%得满分，低于按比例进行得分。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11386430">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71AB9D97">
            <w:pPr>
              <w:jc w:val="center"/>
              <w:rPr>
                <w:rFonts w:hint="eastAsia" w:ascii="仿宋" w:hAnsi="仿宋" w:eastAsia="仿宋" w:cs="仿宋"/>
                <w:i w:val="0"/>
                <w:iCs w:val="0"/>
                <w:color w:val="000000"/>
                <w:sz w:val="22"/>
                <w:szCs w:val="22"/>
                <w:u w:val="none"/>
              </w:rPr>
            </w:pPr>
          </w:p>
        </w:tc>
      </w:tr>
      <w:tr w14:paraId="0864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7860CA39">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15534571">
            <w:pPr>
              <w:jc w:val="center"/>
              <w:rPr>
                <w:rFonts w:hint="eastAsia" w:ascii="仿宋" w:hAnsi="仿宋" w:eastAsia="仿宋" w:cs="仿宋"/>
                <w:i w:val="0"/>
                <w:iCs w:val="0"/>
                <w:color w:val="000000"/>
                <w:sz w:val="22"/>
                <w:szCs w:val="22"/>
                <w:u w:val="none"/>
              </w:rPr>
            </w:pP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0DE99E5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刑事检察审查起诉案件结案率</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101F40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项目完成的质量达标产出数与实际产出数的比率，用以反映和考核项目产出质量目标的实现程度。</w:t>
            </w:r>
          </w:p>
        </w:tc>
        <w:tc>
          <w:tcPr>
            <w:tcW w:w="5236" w:type="dxa"/>
            <w:tcBorders>
              <w:top w:val="nil"/>
              <w:left w:val="single" w:color="000000" w:sz="8" w:space="0"/>
              <w:bottom w:val="nil"/>
              <w:right w:val="single" w:color="000000" w:sz="8" w:space="0"/>
            </w:tcBorders>
            <w:shd w:val="clear" w:color="auto" w:fill="FFFFFF"/>
            <w:vAlign w:val="center"/>
          </w:tcPr>
          <w:p w14:paraId="7F91679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38890DC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7D59DFB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5521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40CE500A">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2FE7E0C4">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7131DCE4">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64BB5C85">
            <w:pPr>
              <w:jc w:val="left"/>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7102151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刑事检察审查起诉案件结案率大于等于90%得满分，低于按比例进行得分。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1DDF95C9">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66C40692">
            <w:pPr>
              <w:jc w:val="center"/>
              <w:rPr>
                <w:rFonts w:hint="eastAsia" w:ascii="仿宋" w:hAnsi="仿宋" w:eastAsia="仿宋" w:cs="仿宋"/>
                <w:i w:val="0"/>
                <w:iCs w:val="0"/>
                <w:color w:val="000000"/>
                <w:sz w:val="22"/>
                <w:szCs w:val="22"/>
                <w:u w:val="none"/>
              </w:rPr>
            </w:pPr>
          </w:p>
        </w:tc>
      </w:tr>
      <w:tr w14:paraId="700E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564C1001">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08152F77">
            <w:pPr>
              <w:jc w:val="center"/>
              <w:rPr>
                <w:rFonts w:hint="eastAsia" w:ascii="仿宋" w:hAnsi="仿宋" w:eastAsia="仿宋" w:cs="仿宋"/>
                <w:i w:val="0"/>
                <w:iCs w:val="0"/>
                <w:color w:val="000000"/>
                <w:sz w:val="22"/>
                <w:szCs w:val="22"/>
                <w:u w:val="none"/>
              </w:rPr>
            </w:pP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68516B5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委托服务达标率</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07EB21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项目完成的质量达标产出数与实际产出数的比率，用以反映和考核项目产出质量目标的实现程度。</w:t>
            </w:r>
          </w:p>
        </w:tc>
        <w:tc>
          <w:tcPr>
            <w:tcW w:w="5236" w:type="dxa"/>
            <w:tcBorders>
              <w:top w:val="nil"/>
              <w:left w:val="single" w:color="000000" w:sz="8" w:space="0"/>
              <w:bottom w:val="nil"/>
              <w:right w:val="single" w:color="000000" w:sz="8" w:space="0"/>
            </w:tcBorders>
            <w:shd w:val="clear" w:color="auto" w:fill="FFFFFF"/>
            <w:vAlign w:val="center"/>
          </w:tcPr>
          <w:p w14:paraId="717E20E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65E7D11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07A4731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0ED3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67318E41">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2B9859F0">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4CA4F3D5">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4F6FE4B8">
            <w:pPr>
              <w:jc w:val="left"/>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18922E4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委托服务达标率等于100%得满分，低于按比例进行得分。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018BDA45">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3CCD7513">
            <w:pPr>
              <w:jc w:val="center"/>
              <w:rPr>
                <w:rFonts w:hint="eastAsia" w:ascii="仿宋" w:hAnsi="仿宋" w:eastAsia="仿宋" w:cs="仿宋"/>
                <w:i w:val="0"/>
                <w:iCs w:val="0"/>
                <w:color w:val="000000"/>
                <w:sz w:val="22"/>
                <w:szCs w:val="22"/>
                <w:u w:val="none"/>
              </w:rPr>
            </w:pPr>
          </w:p>
        </w:tc>
      </w:tr>
      <w:tr w14:paraId="4505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5353C200">
            <w:pPr>
              <w:jc w:val="center"/>
              <w:rPr>
                <w:rFonts w:hint="eastAsia" w:ascii="仿宋" w:hAnsi="仿宋" w:eastAsia="仿宋" w:cs="仿宋"/>
                <w:i w:val="0"/>
                <w:iCs w:val="0"/>
                <w:color w:val="000000"/>
                <w:sz w:val="22"/>
                <w:szCs w:val="22"/>
                <w:u w:val="none"/>
              </w:rPr>
            </w:pPr>
          </w:p>
        </w:tc>
        <w:tc>
          <w:tcPr>
            <w:tcW w:w="709" w:type="dxa"/>
            <w:vMerge w:val="restart"/>
            <w:tcBorders>
              <w:top w:val="nil"/>
              <w:left w:val="single" w:color="000000" w:sz="8" w:space="0"/>
              <w:bottom w:val="nil"/>
              <w:right w:val="single" w:color="000000" w:sz="8" w:space="0"/>
            </w:tcBorders>
            <w:shd w:val="clear" w:color="auto" w:fill="FFFFFF"/>
            <w:vAlign w:val="center"/>
          </w:tcPr>
          <w:p w14:paraId="547DA1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产出时效</w:t>
            </w: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4A148BB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受理刑事检察案件及时率</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3F60EF04">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项目实际完成时间与计划完成时间的比较，用以反映和考核项目产出时效目标的实现程度。</w:t>
            </w:r>
          </w:p>
        </w:tc>
        <w:tc>
          <w:tcPr>
            <w:tcW w:w="5236" w:type="dxa"/>
            <w:tcBorders>
              <w:top w:val="nil"/>
              <w:left w:val="single" w:color="000000" w:sz="8" w:space="0"/>
              <w:bottom w:val="nil"/>
              <w:right w:val="single" w:color="000000" w:sz="8" w:space="0"/>
            </w:tcBorders>
            <w:shd w:val="clear" w:color="auto" w:fill="FFFFFF"/>
            <w:vAlign w:val="center"/>
          </w:tcPr>
          <w:p w14:paraId="13B902D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实际完成时间：项目实施单位完成该项目实际所耗用的时间。</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199FFB1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2FA9C9A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00B2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2D6D43F5">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nil"/>
              <w:right w:val="single" w:color="000000" w:sz="8" w:space="0"/>
            </w:tcBorders>
            <w:shd w:val="clear" w:color="auto" w:fill="FFFFFF"/>
            <w:vAlign w:val="center"/>
          </w:tcPr>
          <w:p w14:paraId="57B989FF">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6D494CE8">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3E45A97C">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5F89701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计划完成时间：按照项目实施计划或相关规定完成该项目所需的时间。</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1D38DF32">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60AF260E">
            <w:pPr>
              <w:jc w:val="center"/>
              <w:rPr>
                <w:rFonts w:hint="eastAsia" w:ascii="仿宋" w:hAnsi="仿宋" w:eastAsia="仿宋" w:cs="仿宋"/>
                <w:i w:val="0"/>
                <w:iCs w:val="0"/>
                <w:color w:val="000000"/>
                <w:sz w:val="22"/>
                <w:szCs w:val="22"/>
                <w:u w:val="none"/>
              </w:rPr>
            </w:pPr>
          </w:p>
        </w:tc>
      </w:tr>
      <w:tr w14:paraId="165E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6392730F">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nil"/>
              <w:right w:val="single" w:color="000000" w:sz="8" w:space="0"/>
            </w:tcBorders>
            <w:shd w:val="clear" w:color="auto" w:fill="FFFFFF"/>
            <w:vAlign w:val="center"/>
          </w:tcPr>
          <w:p w14:paraId="244883EE">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0F44673F">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1C8E1F8A">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3489481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受理刑事检察案件及时率等于100%得满分，低于按比例进行得分。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684FE429">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7BCE89DF">
            <w:pPr>
              <w:jc w:val="center"/>
              <w:rPr>
                <w:rFonts w:hint="eastAsia" w:ascii="仿宋" w:hAnsi="仿宋" w:eastAsia="仿宋" w:cs="仿宋"/>
                <w:i w:val="0"/>
                <w:iCs w:val="0"/>
                <w:color w:val="000000"/>
                <w:sz w:val="22"/>
                <w:szCs w:val="22"/>
                <w:u w:val="none"/>
              </w:rPr>
            </w:pPr>
          </w:p>
        </w:tc>
      </w:tr>
      <w:tr w14:paraId="2BA7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0F385DD9">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nil"/>
              <w:right w:val="single" w:color="000000" w:sz="8" w:space="0"/>
            </w:tcBorders>
            <w:shd w:val="clear" w:color="auto" w:fill="FFFFFF"/>
            <w:vAlign w:val="center"/>
          </w:tcPr>
          <w:p w14:paraId="2EE98752">
            <w:pPr>
              <w:jc w:val="center"/>
              <w:rPr>
                <w:rFonts w:hint="eastAsia" w:ascii="仿宋" w:hAnsi="仿宋" w:eastAsia="仿宋" w:cs="仿宋"/>
                <w:i w:val="0"/>
                <w:iCs w:val="0"/>
                <w:color w:val="000000"/>
                <w:sz w:val="22"/>
                <w:szCs w:val="22"/>
                <w:u w:val="none"/>
              </w:rPr>
            </w:pPr>
          </w:p>
        </w:tc>
        <w:tc>
          <w:tcPr>
            <w:tcW w:w="1385" w:type="dxa"/>
            <w:vMerge w:val="restart"/>
            <w:tcBorders>
              <w:top w:val="nil"/>
              <w:left w:val="single" w:color="000000" w:sz="8" w:space="0"/>
              <w:bottom w:val="single" w:color="000000" w:sz="8" w:space="0"/>
              <w:right w:val="single" w:color="000000" w:sz="8" w:space="0"/>
            </w:tcBorders>
            <w:shd w:val="clear" w:color="auto" w:fill="FFFFFF"/>
            <w:vAlign w:val="center"/>
          </w:tcPr>
          <w:p w14:paraId="2E35E48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资金支付及时率</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799667E8">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项目实际完成时间与计划完成时间的比较，用以反映和考核项目产出时效目标的实现程度。</w:t>
            </w:r>
          </w:p>
        </w:tc>
        <w:tc>
          <w:tcPr>
            <w:tcW w:w="5236" w:type="dxa"/>
            <w:tcBorders>
              <w:top w:val="nil"/>
              <w:left w:val="single" w:color="000000" w:sz="8" w:space="0"/>
              <w:bottom w:val="nil"/>
              <w:right w:val="single" w:color="000000" w:sz="8" w:space="0"/>
            </w:tcBorders>
            <w:shd w:val="clear" w:color="auto" w:fill="FFFFFF"/>
            <w:vAlign w:val="center"/>
          </w:tcPr>
          <w:p w14:paraId="78EAD02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实际完成时间：项目实施单位完成该项目实际所耗用的时间。</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11A0976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0C15493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59639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1267DB59">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nil"/>
              <w:right w:val="single" w:color="000000" w:sz="8" w:space="0"/>
            </w:tcBorders>
            <w:shd w:val="clear" w:color="auto" w:fill="FFFFFF"/>
            <w:vAlign w:val="center"/>
          </w:tcPr>
          <w:p w14:paraId="6B5D8CB8">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2BDB0DBA">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30D8B1DB">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507098C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计划完成时间：按照项目实施计划或相关规定完成该项目所需的时间。</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72386764">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2452A313">
            <w:pPr>
              <w:jc w:val="center"/>
              <w:rPr>
                <w:rFonts w:hint="eastAsia" w:ascii="仿宋" w:hAnsi="仿宋" w:eastAsia="仿宋" w:cs="仿宋"/>
                <w:i w:val="0"/>
                <w:iCs w:val="0"/>
                <w:color w:val="000000"/>
                <w:sz w:val="22"/>
                <w:szCs w:val="22"/>
                <w:u w:val="none"/>
              </w:rPr>
            </w:pPr>
          </w:p>
        </w:tc>
      </w:tr>
      <w:tr w14:paraId="5AE3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0FEADC29">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nil"/>
              <w:right w:val="single" w:color="000000" w:sz="8" w:space="0"/>
            </w:tcBorders>
            <w:shd w:val="clear" w:color="auto" w:fill="FFFFFF"/>
            <w:vAlign w:val="center"/>
          </w:tcPr>
          <w:p w14:paraId="0F33370A">
            <w:pPr>
              <w:jc w:val="center"/>
              <w:rPr>
                <w:rFonts w:hint="eastAsia" w:ascii="仿宋" w:hAnsi="仿宋" w:eastAsia="仿宋" w:cs="仿宋"/>
                <w:i w:val="0"/>
                <w:iCs w:val="0"/>
                <w:color w:val="000000"/>
                <w:sz w:val="22"/>
                <w:szCs w:val="22"/>
                <w:u w:val="none"/>
              </w:rPr>
            </w:pPr>
          </w:p>
        </w:tc>
        <w:tc>
          <w:tcPr>
            <w:tcW w:w="1385" w:type="dxa"/>
            <w:vMerge w:val="continue"/>
            <w:tcBorders>
              <w:top w:val="nil"/>
              <w:left w:val="single" w:color="000000" w:sz="8" w:space="0"/>
              <w:bottom w:val="single" w:color="000000" w:sz="8" w:space="0"/>
              <w:right w:val="single" w:color="000000" w:sz="8" w:space="0"/>
            </w:tcBorders>
            <w:shd w:val="clear" w:color="auto" w:fill="FFFFFF"/>
            <w:vAlign w:val="center"/>
          </w:tcPr>
          <w:p w14:paraId="43397D62">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56DE3EF2">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3313045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资金支付及时率等于100%得满分，低于按比例进行得分。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3EFD07C3">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168545C3">
            <w:pPr>
              <w:jc w:val="center"/>
              <w:rPr>
                <w:rFonts w:hint="eastAsia" w:ascii="仿宋" w:hAnsi="仿宋" w:eastAsia="仿宋" w:cs="仿宋"/>
                <w:i w:val="0"/>
                <w:iCs w:val="0"/>
                <w:color w:val="000000"/>
                <w:sz w:val="22"/>
                <w:szCs w:val="22"/>
                <w:u w:val="none"/>
              </w:rPr>
            </w:pPr>
          </w:p>
        </w:tc>
      </w:tr>
      <w:tr w14:paraId="6E89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7273AC8C">
            <w:pPr>
              <w:jc w:val="center"/>
              <w:rPr>
                <w:rFonts w:hint="eastAsia" w:ascii="仿宋" w:hAnsi="仿宋" w:eastAsia="仿宋" w:cs="仿宋"/>
                <w:i w:val="0"/>
                <w:iCs w:val="0"/>
                <w:color w:val="000000"/>
                <w:sz w:val="22"/>
                <w:szCs w:val="22"/>
                <w:u w:val="none"/>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427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产出成本</w:t>
            </w:r>
          </w:p>
        </w:tc>
        <w:tc>
          <w:tcPr>
            <w:tcW w:w="1385" w:type="dxa"/>
            <w:vMerge w:val="restart"/>
            <w:tcBorders>
              <w:top w:val="nil"/>
              <w:left w:val="nil"/>
              <w:bottom w:val="single" w:color="000000" w:sz="8" w:space="0"/>
              <w:right w:val="single" w:color="000000" w:sz="8" w:space="0"/>
            </w:tcBorders>
            <w:shd w:val="clear" w:color="auto" w:fill="FFFFFF"/>
            <w:vAlign w:val="center"/>
          </w:tcPr>
          <w:p w14:paraId="7E86EAE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公务用车运行维护费</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62C164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完成项目计划工作目标的实际节约成本与计划成本的比率，用以反映和考核项目的成本节约程度。</w:t>
            </w:r>
          </w:p>
        </w:tc>
        <w:tc>
          <w:tcPr>
            <w:tcW w:w="5236" w:type="dxa"/>
            <w:tcBorders>
              <w:top w:val="nil"/>
              <w:left w:val="single" w:color="000000" w:sz="8" w:space="0"/>
              <w:bottom w:val="nil"/>
              <w:right w:val="single" w:color="000000" w:sz="8" w:space="0"/>
            </w:tcBorders>
            <w:shd w:val="clear" w:color="auto" w:fill="FFFFFF"/>
            <w:vAlign w:val="center"/>
          </w:tcPr>
          <w:p w14:paraId="041FB27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实际成本：项目实施单位完成该项目实际产生成本。</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20DD792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644398D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66ED6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147C7DFA">
            <w:pPr>
              <w:jc w:val="center"/>
              <w:rPr>
                <w:rFonts w:hint="eastAsia" w:ascii="仿宋" w:hAnsi="仿宋" w:eastAsia="仿宋" w:cs="仿宋"/>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957F2">
            <w:pPr>
              <w:jc w:val="center"/>
              <w:rPr>
                <w:rFonts w:hint="eastAsia" w:ascii="仿宋" w:hAnsi="仿宋" w:eastAsia="仿宋" w:cs="仿宋"/>
                <w:i w:val="0"/>
                <w:iCs w:val="0"/>
                <w:color w:val="000000"/>
                <w:sz w:val="22"/>
                <w:szCs w:val="22"/>
                <w:u w:val="none"/>
              </w:rPr>
            </w:pPr>
          </w:p>
        </w:tc>
        <w:tc>
          <w:tcPr>
            <w:tcW w:w="1385" w:type="dxa"/>
            <w:vMerge w:val="continue"/>
            <w:tcBorders>
              <w:top w:val="nil"/>
              <w:left w:val="nil"/>
              <w:bottom w:val="single" w:color="000000" w:sz="8" w:space="0"/>
              <w:right w:val="single" w:color="000000" w:sz="8" w:space="0"/>
            </w:tcBorders>
            <w:shd w:val="clear" w:color="auto" w:fill="FFFFFF"/>
            <w:vAlign w:val="center"/>
          </w:tcPr>
          <w:p w14:paraId="3AD66BDA">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032397DE">
            <w:pPr>
              <w:jc w:val="center"/>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33DA921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计划成本：按照项目实施计划或相关规定完成该项目所需的成本。</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180BD211">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61B131F9">
            <w:pPr>
              <w:jc w:val="center"/>
              <w:rPr>
                <w:rFonts w:hint="eastAsia" w:ascii="仿宋" w:hAnsi="仿宋" w:eastAsia="仿宋" w:cs="仿宋"/>
                <w:i w:val="0"/>
                <w:iCs w:val="0"/>
                <w:color w:val="000000"/>
                <w:sz w:val="22"/>
                <w:szCs w:val="22"/>
                <w:u w:val="none"/>
              </w:rPr>
            </w:pPr>
          </w:p>
        </w:tc>
      </w:tr>
      <w:tr w14:paraId="19310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1A95CADB">
            <w:pPr>
              <w:jc w:val="center"/>
              <w:rPr>
                <w:rFonts w:hint="eastAsia" w:ascii="仿宋" w:hAnsi="仿宋" w:eastAsia="仿宋" w:cs="仿宋"/>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B81A4">
            <w:pPr>
              <w:jc w:val="center"/>
              <w:rPr>
                <w:rFonts w:hint="eastAsia" w:ascii="仿宋" w:hAnsi="仿宋" w:eastAsia="仿宋" w:cs="仿宋"/>
                <w:i w:val="0"/>
                <w:iCs w:val="0"/>
                <w:color w:val="000000"/>
                <w:sz w:val="22"/>
                <w:szCs w:val="22"/>
                <w:u w:val="none"/>
              </w:rPr>
            </w:pPr>
          </w:p>
        </w:tc>
        <w:tc>
          <w:tcPr>
            <w:tcW w:w="1385" w:type="dxa"/>
            <w:vMerge w:val="continue"/>
            <w:tcBorders>
              <w:top w:val="nil"/>
              <w:left w:val="nil"/>
              <w:bottom w:val="single" w:color="000000" w:sz="8" w:space="0"/>
              <w:right w:val="single" w:color="000000" w:sz="8" w:space="0"/>
            </w:tcBorders>
            <w:shd w:val="clear" w:color="auto" w:fill="FFFFFF"/>
            <w:vAlign w:val="center"/>
          </w:tcPr>
          <w:p w14:paraId="7398891A">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3635B108">
            <w:pPr>
              <w:jc w:val="center"/>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383C0EE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公务用车运行维护费小于等于25万元得满分，高于不得分。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5ED7807E">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28214164">
            <w:pPr>
              <w:jc w:val="center"/>
              <w:rPr>
                <w:rFonts w:hint="eastAsia" w:ascii="仿宋" w:hAnsi="仿宋" w:eastAsia="仿宋" w:cs="仿宋"/>
                <w:i w:val="0"/>
                <w:iCs w:val="0"/>
                <w:color w:val="000000"/>
                <w:sz w:val="22"/>
                <w:szCs w:val="22"/>
                <w:u w:val="none"/>
              </w:rPr>
            </w:pPr>
          </w:p>
        </w:tc>
      </w:tr>
      <w:tr w14:paraId="6755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49FC5622">
            <w:pPr>
              <w:jc w:val="center"/>
              <w:rPr>
                <w:rFonts w:hint="eastAsia" w:ascii="仿宋" w:hAnsi="仿宋" w:eastAsia="仿宋" w:cs="仿宋"/>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E12C2">
            <w:pPr>
              <w:jc w:val="center"/>
              <w:rPr>
                <w:rFonts w:hint="eastAsia" w:ascii="仿宋" w:hAnsi="仿宋" w:eastAsia="仿宋" w:cs="仿宋"/>
                <w:i w:val="0"/>
                <w:iCs w:val="0"/>
                <w:color w:val="000000"/>
                <w:sz w:val="22"/>
                <w:szCs w:val="22"/>
                <w:u w:val="none"/>
              </w:rPr>
            </w:pPr>
          </w:p>
        </w:tc>
        <w:tc>
          <w:tcPr>
            <w:tcW w:w="1385" w:type="dxa"/>
            <w:vMerge w:val="restart"/>
            <w:tcBorders>
              <w:top w:val="nil"/>
              <w:left w:val="nil"/>
              <w:bottom w:val="single" w:color="000000" w:sz="8" w:space="0"/>
              <w:right w:val="single" w:color="000000" w:sz="8" w:space="0"/>
            </w:tcBorders>
            <w:shd w:val="clear" w:color="auto" w:fill="FFFFFF"/>
            <w:vAlign w:val="center"/>
          </w:tcPr>
          <w:p w14:paraId="07F07F8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委托物业服务</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3A64FA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完成项目计划工作目标的实际节约成本与计划成本的比率，用以反映和考核项目的成本节约程度。</w:t>
            </w:r>
          </w:p>
        </w:tc>
        <w:tc>
          <w:tcPr>
            <w:tcW w:w="5236" w:type="dxa"/>
            <w:tcBorders>
              <w:top w:val="nil"/>
              <w:left w:val="single" w:color="000000" w:sz="8" w:space="0"/>
              <w:bottom w:val="nil"/>
              <w:right w:val="single" w:color="000000" w:sz="8" w:space="0"/>
            </w:tcBorders>
            <w:shd w:val="clear" w:color="auto" w:fill="FFFFFF"/>
            <w:vAlign w:val="center"/>
          </w:tcPr>
          <w:p w14:paraId="1492366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实际成本：项目实施单位完成该项目实际产生成本。</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5303B00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2E980DF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158F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57E86E8C">
            <w:pPr>
              <w:jc w:val="center"/>
              <w:rPr>
                <w:rFonts w:hint="eastAsia" w:ascii="仿宋" w:hAnsi="仿宋" w:eastAsia="仿宋" w:cs="仿宋"/>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39B09">
            <w:pPr>
              <w:jc w:val="center"/>
              <w:rPr>
                <w:rFonts w:hint="eastAsia" w:ascii="仿宋" w:hAnsi="仿宋" w:eastAsia="仿宋" w:cs="仿宋"/>
                <w:i w:val="0"/>
                <w:iCs w:val="0"/>
                <w:color w:val="000000"/>
                <w:sz w:val="22"/>
                <w:szCs w:val="22"/>
                <w:u w:val="none"/>
              </w:rPr>
            </w:pPr>
          </w:p>
        </w:tc>
        <w:tc>
          <w:tcPr>
            <w:tcW w:w="1385" w:type="dxa"/>
            <w:vMerge w:val="continue"/>
            <w:tcBorders>
              <w:top w:val="nil"/>
              <w:left w:val="nil"/>
              <w:bottom w:val="single" w:color="000000" w:sz="8" w:space="0"/>
              <w:right w:val="single" w:color="000000" w:sz="8" w:space="0"/>
            </w:tcBorders>
            <w:shd w:val="clear" w:color="auto" w:fill="FFFFFF"/>
            <w:vAlign w:val="center"/>
          </w:tcPr>
          <w:p w14:paraId="6AC1AA5F">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315F6D79">
            <w:pPr>
              <w:jc w:val="center"/>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52BB56C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计划成本：按照项目实施计划或相关规定完成该项目所需的成本。</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2CEAAEDC">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612B31AD">
            <w:pPr>
              <w:jc w:val="center"/>
              <w:rPr>
                <w:rFonts w:hint="eastAsia" w:ascii="仿宋" w:hAnsi="仿宋" w:eastAsia="仿宋" w:cs="仿宋"/>
                <w:i w:val="0"/>
                <w:iCs w:val="0"/>
                <w:color w:val="000000"/>
                <w:sz w:val="22"/>
                <w:szCs w:val="22"/>
                <w:u w:val="none"/>
              </w:rPr>
            </w:pPr>
          </w:p>
        </w:tc>
      </w:tr>
      <w:tr w14:paraId="7A17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7A01D6A1">
            <w:pPr>
              <w:jc w:val="center"/>
              <w:rPr>
                <w:rFonts w:hint="eastAsia" w:ascii="仿宋" w:hAnsi="仿宋" w:eastAsia="仿宋" w:cs="仿宋"/>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70628">
            <w:pPr>
              <w:jc w:val="center"/>
              <w:rPr>
                <w:rFonts w:hint="eastAsia" w:ascii="仿宋" w:hAnsi="仿宋" w:eastAsia="仿宋" w:cs="仿宋"/>
                <w:i w:val="0"/>
                <w:iCs w:val="0"/>
                <w:color w:val="000000"/>
                <w:sz w:val="22"/>
                <w:szCs w:val="22"/>
                <w:u w:val="none"/>
              </w:rPr>
            </w:pPr>
          </w:p>
        </w:tc>
        <w:tc>
          <w:tcPr>
            <w:tcW w:w="1385" w:type="dxa"/>
            <w:vMerge w:val="continue"/>
            <w:tcBorders>
              <w:top w:val="nil"/>
              <w:left w:val="nil"/>
              <w:bottom w:val="single" w:color="000000" w:sz="8" w:space="0"/>
              <w:right w:val="single" w:color="000000" w:sz="8" w:space="0"/>
            </w:tcBorders>
            <w:shd w:val="clear" w:color="auto" w:fill="FFFFFF"/>
            <w:vAlign w:val="center"/>
          </w:tcPr>
          <w:p w14:paraId="6E96E1DD">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56851135">
            <w:pPr>
              <w:jc w:val="center"/>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0FDB212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委托物业服务小于等于90万元得满分，高于不得分。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059D7701">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29D115A0">
            <w:pPr>
              <w:jc w:val="center"/>
              <w:rPr>
                <w:rFonts w:hint="eastAsia" w:ascii="仿宋" w:hAnsi="仿宋" w:eastAsia="仿宋" w:cs="仿宋"/>
                <w:i w:val="0"/>
                <w:iCs w:val="0"/>
                <w:color w:val="000000"/>
                <w:sz w:val="22"/>
                <w:szCs w:val="22"/>
                <w:u w:val="none"/>
              </w:rPr>
            </w:pPr>
          </w:p>
        </w:tc>
      </w:tr>
      <w:tr w14:paraId="0FFA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1379ECF5">
            <w:pPr>
              <w:jc w:val="center"/>
              <w:rPr>
                <w:rFonts w:hint="eastAsia" w:ascii="仿宋" w:hAnsi="仿宋" w:eastAsia="仿宋" w:cs="仿宋"/>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79D19">
            <w:pPr>
              <w:jc w:val="center"/>
              <w:rPr>
                <w:rFonts w:hint="eastAsia" w:ascii="仿宋" w:hAnsi="仿宋" w:eastAsia="仿宋" w:cs="仿宋"/>
                <w:i w:val="0"/>
                <w:iCs w:val="0"/>
                <w:color w:val="000000"/>
                <w:sz w:val="22"/>
                <w:szCs w:val="22"/>
                <w:u w:val="none"/>
              </w:rPr>
            </w:pPr>
          </w:p>
        </w:tc>
        <w:tc>
          <w:tcPr>
            <w:tcW w:w="1385" w:type="dxa"/>
            <w:vMerge w:val="restart"/>
            <w:tcBorders>
              <w:top w:val="nil"/>
              <w:left w:val="nil"/>
              <w:bottom w:val="single" w:color="000000" w:sz="8" w:space="0"/>
              <w:right w:val="single" w:color="000000" w:sz="8" w:space="0"/>
            </w:tcBorders>
            <w:shd w:val="clear" w:color="auto" w:fill="FFFFFF"/>
            <w:vAlign w:val="center"/>
          </w:tcPr>
          <w:p w14:paraId="159A5B4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项目总成本</w:t>
            </w:r>
          </w:p>
        </w:tc>
        <w:tc>
          <w:tcPr>
            <w:tcW w:w="4353" w:type="dxa"/>
            <w:vMerge w:val="restart"/>
            <w:tcBorders>
              <w:top w:val="nil"/>
              <w:left w:val="single" w:color="000000" w:sz="8" w:space="0"/>
              <w:bottom w:val="single" w:color="000000" w:sz="8" w:space="0"/>
              <w:right w:val="single" w:color="000000" w:sz="8" w:space="0"/>
            </w:tcBorders>
            <w:shd w:val="clear" w:color="auto" w:fill="FFFFFF"/>
            <w:vAlign w:val="center"/>
          </w:tcPr>
          <w:p w14:paraId="25BEC714">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完成项目计划工作目标的实际节约成本与计划成本的比率，用以反映和考核项目的成本节约程度。</w:t>
            </w:r>
          </w:p>
        </w:tc>
        <w:tc>
          <w:tcPr>
            <w:tcW w:w="5236" w:type="dxa"/>
            <w:tcBorders>
              <w:top w:val="nil"/>
              <w:left w:val="single" w:color="000000" w:sz="8" w:space="0"/>
              <w:bottom w:val="nil"/>
              <w:right w:val="single" w:color="000000" w:sz="8" w:space="0"/>
            </w:tcBorders>
            <w:shd w:val="clear" w:color="auto" w:fill="FFFFFF"/>
            <w:vAlign w:val="center"/>
          </w:tcPr>
          <w:p w14:paraId="280EDA1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实际成本：项目实施单位完成该项目实际产生成本。</w:t>
            </w:r>
          </w:p>
        </w:tc>
        <w:tc>
          <w:tcPr>
            <w:tcW w:w="824" w:type="dxa"/>
            <w:vMerge w:val="restart"/>
            <w:tcBorders>
              <w:top w:val="nil"/>
              <w:left w:val="single" w:color="000000" w:sz="8" w:space="0"/>
              <w:bottom w:val="single" w:color="000000" w:sz="8" w:space="0"/>
              <w:right w:val="single" w:color="000000" w:sz="8" w:space="0"/>
            </w:tcBorders>
            <w:shd w:val="clear" w:color="auto" w:fill="FFFFFF"/>
            <w:vAlign w:val="center"/>
          </w:tcPr>
          <w:p w14:paraId="429878B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13" w:type="dxa"/>
            <w:vMerge w:val="restart"/>
            <w:tcBorders>
              <w:top w:val="nil"/>
              <w:left w:val="single" w:color="000000" w:sz="8" w:space="0"/>
              <w:bottom w:val="single" w:color="000000" w:sz="8" w:space="0"/>
              <w:right w:val="single" w:color="000000" w:sz="8" w:space="0"/>
            </w:tcBorders>
            <w:shd w:val="clear" w:color="auto" w:fill="FFFFFF"/>
            <w:vAlign w:val="center"/>
          </w:tcPr>
          <w:p w14:paraId="37F942D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r>
      <w:tr w14:paraId="43713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0AE3D7F9">
            <w:pPr>
              <w:jc w:val="center"/>
              <w:rPr>
                <w:rFonts w:hint="eastAsia" w:ascii="仿宋" w:hAnsi="仿宋" w:eastAsia="仿宋" w:cs="仿宋"/>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59FED">
            <w:pPr>
              <w:jc w:val="center"/>
              <w:rPr>
                <w:rFonts w:hint="eastAsia" w:ascii="仿宋" w:hAnsi="仿宋" w:eastAsia="仿宋" w:cs="仿宋"/>
                <w:i w:val="0"/>
                <w:iCs w:val="0"/>
                <w:color w:val="000000"/>
                <w:sz w:val="22"/>
                <w:szCs w:val="22"/>
                <w:u w:val="none"/>
              </w:rPr>
            </w:pPr>
          </w:p>
        </w:tc>
        <w:tc>
          <w:tcPr>
            <w:tcW w:w="1385" w:type="dxa"/>
            <w:vMerge w:val="continue"/>
            <w:tcBorders>
              <w:top w:val="nil"/>
              <w:left w:val="nil"/>
              <w:bottom w:val="single" w:color="000000" w:sz="8" w:space="0"/>
              <w:right w:val="single" w:color="000000" w:sz="8" w:space="0"/>
            </w:tcBorders>
            <w:shd w:val="clear" w:color="auto" w:fill="FFFFFF"/>
            <w:vAlign w:val="center"/>
          </w:tcPr>
          <w:p w14:paraId="7A3B0C6E">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7C3F9FD4">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nil"/>
              <w:right w:val="single" w:color="000000" w:sz="8" w:space="0"/>
            </w:tcBorders>
            <w:shd w:val="clear" w:color="auto" w:fill="FFFFFF"/>
            <w:vAlign w:val="center"/>
          </w:tcPr>
          <w:p w14:paraId="72BAADA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计划成本：按照项目实施计划或相关规定完成该项目所需的成本。</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0DFA4FCD">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18F664BD">
            <w:pPr>
              <w:jc w:val="center"/>
              <w:rPr>
                <w:rFonts w:hint="eastAsia" w:ascii="仿宋" w:hAnsi="仿宋" w:eastAsia="仿宋" w:cs="仿宋"/>
                <w:i w:val="0"/>
                <w:iCs w:val="0"/>
                <w:color w:val="000000"/>
                <w:sz w:val="22"/>
                <w:szCs w:val="22"/>
                <w:u w:val="none"/>
              </w:rPr>
            </w:pPr>
          </w:p>
        </w:tc>
      </w:tr>
      <w:tr w14:paraId="1228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nil"/>
              <w:right w:val="single" w:color="000000" w:sz="8" w:space="0"/>
            </w:tcBorders>
            <w:shd w:val="clear" w:color="auto" w:fill="FFFFFF"/>
            <w:vAlign w:val="center"/>
          </w:tcPr>
          <w:p w14:paraId="39E09325">
            <w:pPr>
              <w:jc w:val="center"/>
              <w:rPr>
                <w:rFonts w:hint="eastAsia" w:ascii="仿宋" w:hAnsi="仿宋" w:eastAsia="仿宋" w:cs="仿宋"/>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0908C">
            <w:pPr>
              <w:jc w:val="center"/>
              <w:rPr>
                <w:rFonts w:hint="eastAsia" w:ascii="仿宋" w:hAnsi="仿宋" w:eastAsia="仿宋" w:cs="仿宋"/>
                <w:i w:val="0"/>
                <w:iCs w:val="0"/>
                <w:color w:val="000000"/>
                <w:sz w:val="22"/>
                <w:szCs w:val="22"/>
                <w:u w:val="none"/>
              </w:rPr>
            </w:pPr>
          </w:p>
        </w:tc>
        <w:tc>
          <w:tcPr>
            <w:tcW w:w="1385" w:type="dxa"/>
            <w:vMerge w:val="continue"/>
            <w:tcBorders>
              <w:top w:val="nil"/>
              <w:left w:val="nil"/>
              <w:bottom w:val="single" w:color="000000" w:sz="8" w:space="0"/>
              <w:right w:val="single" w:color="000000" w:sz="8" w:space="0"/>
            </w:tcBorders>
            <w:shd w:val="clear" w:color="auto" w:fill="FFFFFF"/>
            <w:vAlign w:val="center"/>
          </w:tcPr>
          <w:p w14:paraId="7FB5C860">
            <w:pPr>
              <w:jc w:val="center"/>
              <w:rPr>
                <w:rFonts w:hint="eastAsia" w:ascii="仿宋" w:hAnsi="仿宋" w:eastAsia="仿宋" w:cs="仿宋"/>
                <w:i w:val="0"/>
                <w:iCs w:val="0"/>
                <w:color w:val="000000"/>
                <w:sz w:val="22"/>
                <w:szCs w:val="22"/>
                <w:u w:val="none"/>
              </w:rPr>
            </w:pPr>
          </w:p>
        </w:tc>
        <w:tc>
          <w:tcPr>
            <w:tcW w:w="4353" w:type="dxa"/>
            <w:vMerge w:val="continue"/>
            <w:tcBorders>
              <w:top w:val="nil"/>
              <w:left w:val="single" w:color="000000" w:sz="8" w:space="0"/>
              <w:bottom w:val="single" w:color="000000" w:sz="8" w:space="0"/>
              <w:right w:val="single" w:color="000000" w:sz="8" w:space="0"/>
            </w:tcBorders>
            <w:shd w:val="clear" w:color="auto" w:fill="FFFFFF"/>
            <w:vAlign w:val="center"/>
          </w:tcPr>
          <w:p w14:paraId="24DC093A">
            <w:pPr>
              <w:jc w:val="both"/>
              <w:rPr>
                <w:rFonts w:hint="eastAsia" w:ascii="仿宋" w:hAnsi="仿宋" w:eastAsia="仿宋" w:cs="仿宋"/>
                <w:i w:val="0"/>
                <w:iCs w:val="0"/>
                <w:color w:val="000000"/>
                <w:sz w:val="22"/>
                <w:szCs w:val="22"/>
                <w:u w:val="none"/>
              </w:rPr>
            </w:pP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32D6E1D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项目总成本小于等于304万元得满分，高于不得分。</w:t>
            </w:r>
          </w:p>
        </w:tc>
        <w:tc>
          <w:tcPr>
            <w:tcW w:w="824" w:type="dxa"/>
            <w:vMerge w:val="continue"/>
            <w:tcBorders>
              <w:top w:val="nil"/>
              <w:left w:val="single" w:color="000000" w:sz="8" w:space="0"/>
              <w:bottom w:val="single" w:color="000000" w:sz="8" w:space="0"/>
              <w:right w:val="single" w:color="000000" w:sz="8" w:space="0"/>
            </w:tcBorders>
            <w:shd w:val="clear" w:color="auto" w:fill="FFFFFF"/>
            <w:vAlign w:val="center"/>
          </w:tcPr>
          <w:p w14:paraId="22BE90DF">
            <w:pPr>
              <w:jc w:val="center"/>
              <w:rPr>
                <w:rFonts w:hint="eastAsia" w:ascii="仿宋" w:hAnsi="仿宋" w:eastAsia="仿宋" w:cs="仿宋"/>
                <w:i w:val="0"/>
                <w:iCs w:val="0"/>
                <w:color w:val="000000"/>
                <w:sz w:val="22"/>
                <w:szCs w:val="22"/>
                <w:u w:val="none"/>
              </w:rPr>
            </w:pPr>
          </w:p>
        </w:tc>
        <w:tc>
          <w:tcPr>
            <w:tcW w:w="813" w:type="dxa"/>
            <w:vMerge w:val="continue"/>
            <w:tcBorders>
              <w:top w:val="nil"/>
              <w:left w:val="single" w:color="000000" w:sz="8" w:space="0"/>
              <w:bottom w:val="single" w:color="000000" w:sz="8" w:space="0"/>
              <w:right w:val="single" w:color="000000" w:sz="8" w:space="0"/>
            </w:tcBorders>
            <w:shd w:val="clear" w:color="auto" w:fill="FFFFFF"/>
            <w:vAlign w:val="center"/>
          </w:tcPr>
          <w:p w14:paraId="73F4FCB6">
            <w:pPr>
              <w:jc w:val="center"/>
              <w:rPr>
                <w:rFonts w:hint="eastAsia" w:ascii="仿宋" w:hAnsi="仿宋" w:eastAsia="仿宋" w:cs="仿宋"/>
                <w:i w:val="0"/>
                <w:iCs w:val="0"/>
                <w:color w:val="000000"/>
                <w:sz w:val="22"/>
                <w:szCs w:val="22"/>
                <w:u w:val="none"/>
              </w:rPr>
            </w:pPr>
          </w:p>
        </w:tc>
      </w:tr>
      <w:tr w14:paraId="6E64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753" w:type="dxa"/>
            <w:vMerge w:val="restart"/>
            <w:tcBorders>
              <w:top w:val="nil"/>
              <w:left w:val="single" w:color="000000" w:sz="8" w:space="0"/>
              <w:bottom w:val="single" w:color="000000" w:sz="8" w:space="0"/>
              <w:right w:val="single" w:color="000000" w:sz="8" w:space="0"/>
            </w:tcBorders>
            <w:shd w:val="clear" w:color="auto" w:fill="FFFFFF"/>
            <w:vAlign w:val="center"/>
          </w:tcPr>
          <w:p w14:paraId="070826B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效益　</w:t>
            </w:r>
          </w:p>
        </w:tc>
        <w:tc>
          <w:tcPr>
            <w:tcW w:w="709" w:type="dxa"/>
            <w:vMerge w:val="restart"/>
            <w:tcBorders>
              <w:top w:val="nil"/>
              <w:left w:val="single" w:color="000000" w:sz="8" w:space="0"/>
              <w:bottom w:val="single" w:color="000000" w:sz="8" w:space="0"/>
              <w:right w:val="single" w:color="000000" w:sz="8" w:space="0"/>
            </w:tcBorders>
            <w:shd w:val="clear" w:color="auto" w:fill="FFFFFF"/>
            <w:vAlign w:val="center"/>
          </w:tcPr>
          <w:p w14:paraId="117B23A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社会效益指标</w:t>
            </w:r>
          </w:p>
        </w:tc>
        <w:tc>
          <w:tcPr>
            <w:tcW w:w="1385" w:type="dxa"/>
            <w:tcBorders>
              <w:top w:val="nil"/>
              <w:left w:val="single" w:color="000000" w:sz="8" w:space="0"/>
              <w:bottom w:val="single" w:color="000000" w:sz="8" w:space="0"/>
              <w:right w:val="single" w:color="000000" w:sz="8" w:space="0"/>
            </w:tcBorders>
            <w:shd w:val="clear" w:color="auto" w:fill="FFFFFF"/>
            <w:vAlign w:val="center"/>
          </w:tcPr>
          <w:p w14:paraId="076FB35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全面提升干警综合素能</w:t>
            </w:r>
          </w:p>
        </w:tc>
        <w:tc>
          <w:tcPr>
            <w:tcW w:w="4353" w:type="dxa"/>
            <w:tcBorders>
              <w:top w:val="nil"/>
              <w:left w:val="single" w:color="000000" w:sz="8" w:space="0"/>
              <w:bottom w:val="single" w:color="000000" w:sz="8" w:space="0"/>
              <w:right w:val="single" w:color="000000" w:sz="8" w:space="0"/>
            </w:tcBorders>
            <w:shd w:val="clear" w:color="auto" w:fill="FFFFFF"/>
            <w:vAlign w:val="center"/>
          </w:tcPr>
          <w:p w14:paraId="751C6C4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衡量社会效益情况。</w:t>
            </w: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36AA236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根据具体效益情况评分。</w:t>
            </w:r>
          </w:p>
        </w:tc>
        <w:tc>
          <w:tcPr>
            <w:tcW w:w="824" w:type="dxa"/>
            <w:tcBorders>
              <w:top w:val="nil"/>
              <w:left w:val="single" w:color="000000" w:sz="8" w:space="0"/>
              <w:bottom w:val="single" w:color="000000" w:sz="8" w:space="0"/>
              <w:right w:val="single" w:color="000000" w:sz="8" w:space="0"/>
            </w:tcBorders>
            <w:shd w:val="clear" w:color="auto" w:fill="FFFFFF"/>
            <w:vAlign w:val="center"/>
          </w:tcPr>
          <w:p w14:paraId="50A02E8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13" w:type="dxa"/>
            <w:tcBorders>
              <w:top w:val="nil"/>
              <w:left w:val="single" w:color="000000" w:sz="8" w:space="0"/>
              <w:bottom w:val="single" w:color="000000" w:sz="8" w:space="0"/>
              <w:right w:val="single" w:color="000000" w:sz="8" w:space="0"/>
            </w:tcBorders>
            <w:shd w:val="clear" w:color="auto" w:fill="FFFFFF"/>
            <w:vAlign w:val="center"/>
          </w:tcPr>
          <w:p w14:paraId="2EE2EDF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5.84</w:t>
            </w:r>
          </w:p>
        </w:tc>
      </w:tr>
      <w:tr w14:paraId="2A2C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31A7A8D2">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7E6EA8AB">
            <w:pPr>
              <w:jc w:val="center"/>
              <w:rPr>
                <w:rFonts w:hint="eastAsia" w:ascii="仿宋" w:hAnsi="仿宋" w:eastAsia="仿宋" w:cs="仿宋"/>
                <w:i w:val="0"/>
                <w:iCs w:val="0"/>
                <w:color w:val="000000"/>
                <w:sz w:val="22"/>
                <w:szCs w:val="22"/>
                <w:u w:val="none"/>
              </w:rPr>
            </w:pPr>
          </w:p>
        </w:tc>
        <w:tc>
          <w:tcPr>
            <w:tcW w:w="1385" w:type="dxa"/>
            <w:tcBorders>
              <w:top w:val="nil"/>
              <w:left w:val="single" w:color="000000" w:sz="8" w:space="0"/>
              <w:bottom w:val="single" w:color="000000" w:sz="8" w:space="0"/>
              <w:right w:val="single" w:color="000000" w:sz="8" w:space="0"/>
            </w:tcBorders>
            <w:shd w:val="clear" w:color="auto" w:fill="FFFFFF"/>
            <w:vAlign w:val="center"/>
          </w:tcPr>
          <w:p w14:paraId="6393EB2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提高办案效率</w:t>
            </w:r>
          </w:p>
        </w:tc>
        <w:tc>
          <w:tcPr>
            <w:tcW w:w="4353" w:type="dxa"/>
            <w:tcBorders>
              <w:top w:val="nil"/>
              <w:left w:val="single" w:color="000000" w:sz="8" w:space="0"/>
              <w:bottom w:val="single" w:color="000000" w:sz="8" w:space="0"/>
              <w:right w:val="single" w:color="000000" w:sz="8" w:space="0"/>
            </w:tcBorders>
            <w:shd w:val="clear" w:color="auto" w:fill="FFFFFF"/>
            <w:vAlign w:val="center"/>
          </w:tcPr>
          <w:p w14:paraId="3946F87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衡量社会效益情况。</w:t>
            </w: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077B3E9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根据具体效益情况评分。</w:t>
            </w:r>
          </w:p>
        </w:tc>
        <w:tc>
          <w:tcPr>
            <w:tcW w:w="824" w:type="dxa"/>
            <w:tcBorders>
              <w:top w:val="nil"/>
              <w:left w:val="single" w:color="000000" w:sz="8" w:space="0"/>
              <w:bottom w:val="single" w:color="000000" w:sz="8" w:space="0"/>
              <w:right w:val="single" w:color="000000" w:sz="8" w:space="0"/>
            </w:tcBorders>
            <w:shd w:val="clear" w:color="auto" w:fill="FFFFFF"/>
            <w:vAlign w:val="center"/>
          </w:tcPr>
          <w:p w14:paraId="50C5151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13" w:type="dxa"/>
            <w:tcBorders>
              <w:top w:val="nil"/>
              <w:left w:val="single" w:color="000000" w:sz="8" w:space="0"/>
              <w:bottom w:val="single" w:color="000000" w:sz="8" w:space="0"/>
              <w:right w:val="single" w:color="000000" w:sz="8" w:space="0"/>
            </w:tcBorders>
            <w:shd w:val="clear" w:color="auto" w:fill="FFFFFF"/>
            <w:vAlign w:val="center"/>
          </w:tcPr>
          <w:p w14:paraId="2891980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5.81</w:t>
            </w:r>
          </w:p>
        </w:tc>
      </w:tr>
      <w:tr w14:paraId="0260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0D0B2713">
            <w:pPr>
              <w:jc w:val="center"/>
              <w:rPr>
                <w:rFonts w:hint="eastAsia" w:ascii="仿宋" w:hAnsi="仿宋" w:eastAsia="仿宋" w:cs="仿宋"/>
                <w:i w:val="0"/>
                <w:iCs w:val="0"/>
                <w:color w:val="000000"/>
                <w:sz w:val="22"/>
                <w:szCs w:val="22"/>
                <w:u w:val="none"/>
              </w:rPr>
            </w:pPr>
          </w:p>
        </w:tc>
        <w:tc>
          <w:tcPr>
            <w:tcW w:w="709" w:type="dxa"/>
            <w:vMerge w:val="restart"/>
            <w:tcBorders>
              <w:top w:val="nil"/>
              <w:left w:val="single" w:color="000000" w:sz="8" w:space="0"/>
              <w:bottom w:val="single" w:color="000000" w:sz="8" w:space="0"/>
              <w:right w:val="single" w:color="000000" w:sz="8" w:space="0"/>
            </w:tcBorders>
            <w:shd w:val="clear" w:color="auto" w:fill="FFFFFF"/>
            <w:vAlign w:val="center"/>
          </w:tcPr>
          <w:p w14:paraId="181AFE4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可持续影响指标</w:t>
            </w:r>
          </w:p>
        </w:tc>
        <w:tc>
          <w:tcPr>
            <w:tcW w:w="1385" w:type="dxa"/>
            <w:tcBorders>
              <w:top w:val="nil"/>
              <w:left w:val="single" w:color="000000" w:sz="8" w:space="0"/>
              <w:bottom w:val="single" w:color="000000" w:sz="8" w:space="0"/>
              <w:right w:val="single" w:color="000000" w:sz="8" w:space="0"/>
            </w:tcBorders>
            <w:shd w:val="clear" w:color="auto" w:fill="FFFFFF"/>
            <w:vAlign w:val="center"/>
          </w:tcPr>
          <w:p w14:paraId="0196685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加强社会主义法制建设</w:t>
            </w:r>
          </w:p>
        </w:tc>
        <w:tc>
          <w:tcPr>
            <w:tcW w:w="4353" w:type="dxa"/>
            <w:tcBorders>
              <w:top w:val="nil"/>
              <w:left w:val="single" w:color="000000" w:sz="8" w:space="0"/>
              <w:bottom w:val="single" w:color="000000" w:sz="8" w:space="0"/>
              <w:right w:val="single" w:color="000000" w:sz="8" w:space="0"/>
            </w:tcBorders>
            <w:shd w:val="clear" w:color="auto" w:fill="FFFFFF"/>
            <w:vAlign w:val="center"/>
          </w:tcPr>
          <w:p w14:paraId="6E0EB7F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衡量社会效益情况。</w:t>
            </w: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0C37B6E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根据具体效益情况评分。</w:t>
            </w:r>
          </w:p>
        </w:tc>
        <w:tc>
          <w:tcPr>
            <w:tcW w:w="824" w:type="dxa"/>
            <w:tcBorders>
              <w:top w:val="nil"/>
              <w:left w:val="single" w:color="000000" w:sz="8" w:space="0"/>
              <w:bottom w:val="single" w:color="000000" w:sz="8" w:space="0"/>
              <w:right w:val="single" w:color="000000" w:sz="8" w:space="0"/>
            </w:tcBorders>
            <w:shd w:val="clear" w:color="auto" w:fill="FFFFFF"/>
            <w:vAlign w:val="center"/>
          </w:tcPr>
          <w:p w14:paraId="0380552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13" w:type="dxa"/>
            <w:tcBorders>
              <w:top w:val="nil"/>
              <w:left w:val="single" w:color="000000" w:sz="8" w:space="0"/>
              <w:bottom w:val="single" w:color="000000" w:sz="8" w:space="0"/>
              <w:right w:val="single" w:color="000000" w:sz="8" w:space="0"/>
            </w:tcBorders>
            <w:shd w:val="clear" w:color="auto" w:fill="FFFFFF"/>
            <w:vAlign w:val="center"/>
          </w:tcPr>
          <w:p w14:paraId="0263434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14:paraId="7CC21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5BC252EC">
            <w:pPr>
              <w:jc w:val="center"/>
              <w:rPr>
                <w:rFonts w:hint="eastAsia" w:ascii="仿宋" w:hAnsi="仿宋" w:eastAsia="仿宋" w:cs="仿宋"/>
                <w:i w:val="0"/>
                <w:iCs w:val="0"/>
                <w:color w:val="000000"/>
                <w:sz w:val="22"/>
                <w:szCs w:val="22"/>
                <w:u w:val="none"/>
              </w:rPr>
            </w:pPr>
          </w:p>
        </w:tc>
        <w:tc>
          <w:tcPr>
            <w:tcW w:w="709" w:type="dxa"/>
            <w:vMerge w:val="continue"/>
            <w:tcBorders>
              <w:top w:val="nil"/>
              <w:left w:val="single" w:color="000000" w:sz="8" w:space="0"/>
              <w:bottom w:val="single" w:color="000000" w:sz="8" w:space="0"/>
              <w:right w:val="single" w:color="000000" w:sz="8" w:space="0"/>
            </w:tcBorders>
            <w:shd w:val="clear" w:color="auto" w:fill="FFFFFF"/>
            <w:vAlign w:val="center"/>
          </w:tcPr>
          <w:p w14:paraId="585F3D58">
            <w:pPr>
              <w:jc w:val="center"/>
              <w:rPr>
                <w:rFonts w:hint="eastAsia" w:ascii="仿宋" w:hAnsi="仿宋" w:eastAsia="仿宋" w:cs="仿宋"/>
                <w:i w:val="0"/>
                <w:iCs w:val="0"/>
                <w:color w:val="000000"/>
                <w:sz w:val="22"/>
                <w:szCs w:val="22"/>
                <w:u w:val="none"/>
              </w:rPr>
            </w:pPr>
          </w:p>
        </w:tc>
        <w:tc>
          <w:tcPr>
            <w:tcW w:w="1385" w:type="dxa"/>
            <w:tcBorders>
              <w:top w:val="nil"/>
              <w:left w:val="single" w:color="000000" w:sz="8" w:space="0"/>
              <w:bottom w:val="single" w:color="000000" w:sz="8" w:space="0"/>
              <w:right w:val="single" w:color="000000" w:sz="8" w:space="0"/>
            </w:tcBorders>
            <w:shd w:val="clear" w:color="auto" w:fill="FFFFFF"/>
            <w:vAlign w:val="center"/>
          </w:tcPr>
          <w:p w14:paraId="7EBF4A7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健全办案保障机制</w:t>
            </w:r>
          </w:p>
        </w:tc>
        <w:tc>
          <w:tcPr>
            <w:tcW w:w="4353" w:type="dxa"/>
            <w:tcBorders>
              <w:top w:val="nil"/>
              <w:left w:val="single" w:color="000000" w:sz="8" w:space="0"/>
              <w:bottom w:val="single" w:color="000000" w:sz="8" w:space="0"/>
              <w:right w:val="single" w:color="000000" w:sz="8" w:space="0"/>
            </w:tcBorders>
            <w:shd w:val="clear" w:color="auto" w:fill="FFFFFF"/>
            <w:vAlign w:val="center"/>
          </w:tcPr>
          <w:p w14:paraId="5DC6AD4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衡量可持续影响情况。</w:t>
            </w: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6F6167F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根据具体效益情况评分。</w:t>
            </w:r>
          </w:p>
        </w:tc>
        <w:tc>
          <w:tcPr>
            <w:tcW w:w="824" w:type="dxa"/>
            <w:tcBorders>
              <w:top w:val="nil"/>
              <w:left w:val="single" w:color="000000" w:sz="8" w:space="0"/>
              <w:bottom w:val="single" w:color="000000" w:sz="8" w:space="0"/>
              <w:right w:val="single" w:color="000000" w:sz="8" w:space="0"/>
            </w:tcBorders>
            <w:shd w:val="clear" w:color="auto" w:fill="FFFFFF"/>
            <w:vAlign w:val="center"/>
          </w:tcPr>
          <w:p w14:paraId="3752FEB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13" w:type="dxa"/>
            <w:tcBorders>
              <w:top w:val="nil"/>
              <w:left w:val="single" w:color="000000" w:sz="8" w:space="0"/>
              <w:bottom w:val="single" w:color="000000" w:sz="8" w:space="0"/>
              <w:right w:val="single" w:color="000000" w:sz="8" w:space="0"/>
            </w:tcBorders>
            <w:shd w:val="clear" w:color="auto" w:fill="FFFFFF"/>
            <w:vAlign w:val="center"/>
          </w:tcPr>
          <w:p w14:paraId="56B2405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14:paraId="46F3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 w:type="dxa"/>
            <w:vMerge w:val="continue"/>
            <w:tcBorders>
              <w:top w:val="nil"/>
              <w:left w:val="single" w:color="000000" w:sz="8" w:space="0"/>
              <w:bottom w:val="single" w:color="000000" w:sz="8" w:space="0"/>
              <w:right w:val="single" w:color="000000" w:sz="8" w:space="0"/>
            </w:tcBorders>
            <w:shd w:val="clear" w:color="auto" w:fill="FFFFFF"/>
            <w:vAlign w:val="center"/>
          </w:tcPr>
          <w:p w14:paraId="673129BD">
            <w:pPr>
              <w:jc w:val="center"/>
              <w:rPr>
                <w:rFonts w:hint="eastAsia" w:ascii="仿宋" w:hAnsi="仿宋" w:eastAsia="仿宋" w:cs="仿宋"/>
                <w:i w:val="0"/>
                <w:iCs w:val="0"/>
                <w:color w:val="000000"/>
                <w:sz w:val="22"/>
                <w:szCs w:val="22"/>
                <w:u w:val="none"/>
              </w:rPr>
            </w:pPr>
          </w:p>
        </w:tc>
        <w:tc>
          <w:tcPr>
            <w:tcW w:w="709" w:type="dxa"/>
            <w:tcBorders>
              <w:top w:val="nil"/>
              <w:left w:val="single" w:color="000000" w:sz="8" w:space="0"/>
              <w:bottom w:val="single" w:color="000000" w:sz="8" w:space="0"/>
              <w:right w:val="single" w:color="000000" w:sz="8" w:space="0"/>
            </w:tcBorders>
            <w:shd w:val="clear" w:color="auto" w:fill="FFFFFF"/>
            <w:vAlign w:val="center"/>
          </w:tcPr>
          <w:p w14:paraId="35C7DCB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满意度指标</w:t>
            </w:r>
          </w:p>
        </w:tc>
        <w:tc>
          <w:tcPr>
            <w:tcW w:w="1385" w:type="dxa"/>
            <w:tcBorders>
              <w:top w:val="nil"/>
              <w:left w:val="single" w:color="000000" w:sz="8" w:space="0"/>
              <w:bottom w:val="single" w:color="000000" w:sz="8" w:space="0"/>
              <w:right w:val="single" w:color="000000" w:sz="8" w:space="0"/>
            </w:tcBorders>
            <w:shd w:val="clear" w:color="auto" w:fill="FFFFFF"/>
            <w:vAlign w:val="center"/>
          </w:tcPr>
          <w:p w14:paraId="4F8EBED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办案人员满意度</w:t>
            </w:r>
          </w:p>
        </w:tc>
        <w:tc>
          <w:tcPr>
            <w:tcW w:w="4353" w:type="dxa"/>
            <w:tcBorders>
              <w:top w:val="nil"/>
              <w:left w:val="single" w:color="000000" w:sz="8" w:space="0"/>
              <w:bottom w:val="single" w:color="000000" w:sz="8" w:space="0"/>
              <w:right w:val="single" w:color="000000" w:sz="8" w:space="0"/>
            </w:tcBorders>
            <w:shd w:val="clear" w:color="auto" w:fill="FFFFFF"/>
            <w:vAlign w:val="center"/>
          </w:tcPr>
          <w:p w14:paraId="56962E7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社会公众或服务对象对项目实施效果的满意程度。</w:t>
            </w:r>
          </w:p>
        </w:tc>
        <w:tc>
          <w:tcPr>
            <w:tcW w:w="5236" w:type="dxa"/>
            <w:tcBorders>
              <w:top w:val="nil"/>
              <w:left w:val="single" w:color="000000" w:sz="8" w:space="0"/>
              <w:bottom w:val="single" w:color="000000" w:sz="8" w:space="0"/>
              <w:right w:val="single" w:color="000000" w:sz="8" w:space="0"/>
            </w:tcBorders>
            <w:shd w:val="clear" w:color="auto" w:fill="FFFFFF"/>
            <w:vAlign w:val="center"/>
          </w:tcPr>
          <w:p w14:paraId="19CDB55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满意度大于95%得满分，低于90%按照比例进行扣分。</w:t>
            </w:r>
          </w:p>
        </w:tc>
        <w:tc>
          <w:tcPr>
            <w:tcW w:w="824" w:type="dxa"/>
            <w:tcBorders>
              <w:top w:val="nil"/>
              <w:left w:val="single" w:color="000000" w:sz="8" w:space="0"/>
              <w:bottom w:val="single" w:color="000000" w:sz="8" w:space="0"/>
              <w:right w:val="single" w:color="000000" w:sz="8" w:space="0"/>
            </w:tcBorders>
            <w:shd w:val="clear" w:color="auto" w:fill="FFFFFF"/>
            <w:vAlign w:val="center"/>
          </w:tcPr>
          <w:p w14:paraId="5684DD0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13" w:type="dxa"/>
            <w:tcBorders>
              <w:top w:val="nil"/>
              <w:left w:val="single" w:color="000000" w:sz="8" w:space="0"/>
              <w:bottom w:val="single" w:color="000000" w:sz="8" w:space="0"/>
              <w:right w:val="single" w:color="000000" w:sz="8" w:space="0"/>
            </w:tcBorders>
            <w:shd w:val="clear" w:color="auto" w:fill="FFFFFF"/>
            <w:vAlign w:val="center"/>
          </w:tcPr>
          <w:p w14:paraId="5127BC2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14:paraId="2147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436" w:type="dxa"/>
            <w:gridSpan w:val="5"/>
            <w:tcBorders>
              <w:top w:val="nil"/>
              <w:left w:val="single" w:color="000000" w:sz="8" w:space="0"/>
              <w:bottom w:val="single" w:color="000000" w:sz="8" w:space="0"/>
              <w:right w:val="single" w:color="000000" w:sz="8" w:space="0"/>
            </w:tcBorders>
            <w:shd w:val="clear" w:color="auto" w:fill="FFFFFF"/>
            <w:vAlign w:val="center"/>
          </w:tcPr>
          <w:p w14:paraId="33ED0C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得分</w:t>
            </w:r>
          </w:p>
        </w:tc>
        <w:tc>
          <w:tcPr>
            <w:tcW w:w="824" w:type="dxa"/>
            <w:tcBorders>
              <w:top w:val="nil"/>
              <w:left w:val="single" w:color="000000" w:sz="8" w:space="0"/>
              <w:bottom w:val="single" w:color="000000" w:sz="8" w:space="0"/>
              <w:right w:val="single" w:color="000000" w:sz="8" w:space="0"/>
            </w:tcBorders>
            <w:shd w:val="clear" w:color="auto" w:fill="FFFFFF"/>
            <w:vAlign w:val="center"/>
          </w:tcPr>
          <w:p w14:paraId="5D9D1F3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813" w:type="dxa"/>
            <w:tcBorders>
              <w:top w:val="nil"/>
              <w:left w:val="single" w:color="000000" w:sz="8" w:space="0"/>
              <w:bottom w:val="single" w:color="000000" w:sz="8" w:space="0"/>
              <w:right w:val="single" w:color="000000" w:sz="8" w:space="0"/>
            </w:tcBorders>
            <w:shd w:val="clear" w:color="auto" w:fill="FFFFFF"/>
            <w:vAlign w:val="center"/>
          </w:tcPr>
          <w:p w14:paraId="6186FEB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95.65</w:t>
            </w:r>
          </w:p>
        </w:tc>
      </w:tr>
    </w:tbl>
    <w:p w14:paraId="6D256C5D">
      <w:pPr>
        <w:pStyle w:val="9"/>
        <w:sectPr>
          <w:headerReference r:id="rId8" w:type="default"/>
          <w:footerReference r:id="rId9" w:type="default"/>
          <w:pgSz w:w="16838" w:h="11906" w:orient="landscape"/>
          <w:pgMar w:top="1588" w:right="1389" w:bottom="1588" w:left="1389" w:header="822" w:footer="992" w:gutter="0"/>
          <w:pgBorders>
            <w:top w:val="none" w:sz="0" w:space="0"/>
            <w:left w:val="none" w:sz="0" w:space="0"/>
            <w:bottom w:val="none" w:sz="0" w:space="0"/>
            <w:right w:val="none" w:sz="0" w:space="0"/>
          </w:pgBorders>
          <w:cols w:space="0" w:num="1"/>
          <w:docGrid w:type="lines" w:linePitch="410" w:charSpace="0"/>
        </w:sectPr>
      </w:pPr>
    </w:p>
    <w:p w14:paraId="7357B632">
      <w:pPr>
        <w:widowControl/>
        <w:ind w:firstLine="640"/>
        <w:jc w:val="left"/>
        <w:outlineLvl w:val="0"/>
        <w:rPr>
          <w:rFonts w:eastAsia="黑体" w:cs="黑体"/>
          <w:bCs/>
          <w:kern w:val="0"/>
          <w:sz w:val="32"/>
          <w:szCs w:val="32"/>
          <w:lang w:bidi="ar"/>
        </w:rPr>
      </w:pPr>
      <w:bookmarkStart w:id="184" w:name="_Toc4552"/>
      <w:bookmarkStart w:id="185" w:name="_Toc6464"/>
      <w:bookmarkStart w:id="186" w:name="_Toc31973"/>
      <w:bookmarkStart w:id="187" w:name="_Toc29634"/>
      <w:bookmarkStart w:id="188" w:name="_Toc92"/>
      <w:bookmarkStart w:id="189" w:name="_Toc61482788"/>
      <w:bookmarkStart w:id="190" w:name="_Toc59577475"/>
      <w:bookmarkStart w:id="191" w:name="_Toc61482869"/>
      <w:bookmarkStart w:id="192" w:name="_Toc57965955"/>
      <w:bookmarkStart w:id="193" w:name="_Toc7054"/>
      <w:bookmarkStart w:id="194" w:name="_Toc61482997"/>
      <w:bookmarkStart w:id="195" w:name="_Toc1384"/>
      <w:bookmarkStart w:id="196" w:name="_Toc19863"/>
      <w:r>
        <w:rPr>
          <w:rFonts w:hint="eastAsia" w:eastAsia="黑体" w:cs="黑体"/>
          <w:kern w:val="0"/>
          <w:sz w:val="32"/>
          <w:szCs w:val="32"/>
          <w:lang w:bidi="ar"/>
        </w:rPr>
        <w:t>附件2：</w:t>
      </w:r>
      <w:bookmarkEnd w:id="184"/>
      <w:bookmarkEnd w:id="185"/>
      <w:bookmarkEnd w:id="186"/>
      <w:bookmarkEnd w:id="187"/>
      <w:bookmarkEnd w:id="188"/>
      <w:bookmarkEnd w:id="189"/>
      <w:bookmarkEnd w:id="190"/>
      <w:bookmarkEnd w:id="191"/>
      <w:bookmarkEnd w:id="192"/>
      <w:bookmarkEnd w:id="193"/>
      <w:bookmarkEnd w:id="194"/>
      <w:r>
        <w:rPr>
          <w:rFonts w:hint="eastAsia" w:eastAsia="黑体" w:cs="黑体"/>
          <w:bCs/>
          <w:kern w:val="0"/>
          <w:sz w:val="32"/>
          <w:szCs w:val="32"/>
          <w:lang w:bidi="ar"/>
        </w:rPr>
        <w:t>绩效评价评分表</w:t>
      </w:r>
      <w:bookmarkEnd w:id="195"/>
      <w:bookmarkEnd w:id="196"/>
    </w:p>
    <w:p w14:paraId="449983FB">
      <w:pPr>
        <w:widowControl/>
        <w:adjustRightInd/>
        <w:snapToGrid/>
        <w:spacing w:line="240" w:lineRule="atLeast"/>
        <w:ind w:firstLine="0" w:firstLineChars="0"/>
        <w:jc w:val="center"/>
        <w:rPr>
          <w:rFonts w:cstheme="majorBidi"/>
          <w:bCs/>
          <w:szCs w:val="32"/>
        </w:rPr>
      </w:pPr>
      <w:r>
        <w:rPr>
          <w:rFonts w:hint="eastAsia" w:eastAsia="黑体" w:cs="黑体"/>
          <w:bCs/>
          <w:sz w:val="24"/>
          <w:lang w:eastAsia="zh-CN"/>
        </w:rPr>
        <w:t>办案（业务）经费</w:t>
      </w:r>
      <w:r>
        <w:rPr>
          <w:rFonts w:hint="eastAsia" w:eastAsia="黑体" w:cs="黑体"/>
          <w:bCs/>
          <w:sz w:val="24"/>
        </w:rPr>
        <w:t>项目</w:t>
      </w:r>
      <w:r>
        <w:rPr>
          <w:rFonts w:hint="eastAsia" w:eastAsia="黑体" w:cs="黑体"/>
          <w:bCs/>
          <w:kern w:val="0"/>
          <w:sz w:val="24"/>
        </w:rPr>
        <w:t>绩效评分表</w:t>
      </w:r>
      <w:bookmarkStart w:id="197" w:name="_Toc56442983"/>
    </w:p>
    <w:bookmarkEnd w:id="197"/>
    <w:tbl>
      <w:tblPr>
        <w:tblStyle w:val="23"/>
        <w:tblW w:w="87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1789"/>
        <w:gridCol w:w="4058"/>
        <w:gridCol w:w="1091"/>
        <w:gridCol w:w="1004"/>
      </w:tblGrid>
      <w:tr w14:paraId="5A4F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794"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6B4C072">
            <w:pPr>
              <w:keepNext w:val="0"/>
              <w:keepLines w:val="0"/>
              <w:widowControl/>
              <w:suppressLineNumbers w:val="0"/>
              <w:ind w:left="0" w:leftChars="0" w:firstLine="0" w:firstLineChars="0"/>
              <w:jc w:val="center"/>
              <w:textAlignment w:val="center"/>
              <w:rPr>
                <w:rFonts w:ascii="仿宋" w:hAnsi="仿宋" w:eastAsia="仿宋" w:cs="仿宋"/>
                <w:b/>
                <w:bCs/>
                <w:i w:val="0"/>
                <w:iCs w:val="0"/>
                <w:color w:val="000000"/>
                <w:sz w:val="22"/>
                <w:szCs w:val="22"/>
                <w:u w:val="none"/>
              </w:rPr>
            </w:pPr>
            <w:bookmarkStart w:id="198" w:name="_Toc81497659"/>
            <w:r>
              <w:rPr>
                <w:rFonts w:hint="eastAsia" w:ascii="仿宋" w:hAnsi="仿宋" w:eastAsia="仿宋" w:cs="仿宋"/>
                <w:b/>
                <w:bCs/>
                <w:i w:val="0"/>
                <w:iCs w:val="0"/>
                <w:color w:val="000000"/>
                <w:kern w:val="0"/>
                <w:sz w:val="22"/>
                <w:szCs w:val="22"/>
                <w:u w:val="none"/>
                <w:lang w:val="en-US" w:eastAsia="zh-CN" w:bidi="ar"/>
              </w:rPr>
              <w:t>一级指标</w:t>
            </w:r>
          </w:p>
        </w:tc>
        <w:tc>
          <w:tcPr>
            <w:tcW w:w="1789"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0A61ED7">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二级指标</w:t>
            </w:r>
          </w:p>
        </w:tc>
        <w:tc>
          <w:tcPr>
            <w:tcW w:w="4058"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1EAB5D6B">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三级指标</w:t>
            </w:r>
          </w:p>
        </w:tc>
        <w:tc>
          <w:tcPr>
            <w:tcW w:w="1091"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2ED38452">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分值</w:t>
            </w:r>
          </w:p>
        </w:tc>
        <w:tc>
          <w:tcPr>
            <w:tcW w:w="1004"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225C294">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得分</w:t>
            </w:r>
          </w:p>
        </w:tc>
      </w:tr>
      <w:tr w14:paraId="3BC4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A349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决策</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9590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项目立项</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AB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立项依据充分性</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5E1E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899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0D0E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1226F">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18B5F">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E5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立项程序规范性</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D04D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15D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15E58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F574A">
            <w:pPr>
              <w:jc w:val="center"/>
              <w:rPr>
                <w:rFonts w:hint="eastAsia" w:ascii="仿宋" w:hAnsi="仿宋" w:eastAsia="仿宋" w:cs="仿宋"/>
                <w:i w:val="0"/>
                <w:iCs w:val="0"/>
                <w:color w:val="000000"/>
                <w:sz w:val="22"/>
                <w:szCs w:val="22"/>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49AA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绩效目标</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46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绩效目标合理性</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520B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97CD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2329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FE534">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E0C90">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630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绩效指标明确性</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2893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2B1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6179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75153">
            <w:pPr>
              <w:jc w:val="center"/>
              <w:rPr>
                <w:rFonts w:hint="eastAsia" w:ascii="仿宋" w:hAnsi="仿宋" w:eastAsia="仿宋" w:cs="仿宋"/>
                <w:i w:val="0"/>
                <w:iCs w:val="0"/>
                <w:color w:val="000000"/>
                <w:sz w:val="22"/>
                <w:szCs w:val="22"/>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403A3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资金投入</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D2B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预算编制科学性</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609D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E827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102B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99AC7">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7E0BE">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630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资金分配合理性</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47A4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EAFA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r>
      <w:tr w14:paraId="23602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BC20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过程</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9452E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资金管理</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34A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资金到位率</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E4A1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DA7F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14:paraId="651B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E86A6">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DE984">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70D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预算执行率</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4CB8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612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14:paraId="4570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D3224">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5CBB0">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8DF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资金使用合规性</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37E9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1A77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14:paraId="118E0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D1000">
            <w:pPr>
              <w:jc w:val="center"/>
              <w:rPr>
                <w:rFonts w:hint="eastAsia" w:ascii="仿宋" w:hAnsi="仿宋" w:eastAsia="仿宋" w:cs="仿宋"/>
                <w:i w:val="0"/>
                <w:iCs w:val="0"/>
                <w:color w:val="000000"/>
                <w:sz w:val="22"/>
                <w:szCs w:val="22"/>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82FA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组织实施</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7E0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管理制度健全性</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D0F8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A3B8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14:paraId="3375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30EB3">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49580">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D56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制度执行有效性</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742D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7EB8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14:paraId="062E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30D4A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0922A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产出数量</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2B2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办理一审公诉案件完成率</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A9E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62BA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10FA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E87F2">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AD89E">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9C5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认罪认罚案件完成率</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A45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8F1B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48F11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B145C">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9C4DF">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50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委托业务服务完成率</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D86A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ED14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6E4E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11856">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7A378">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6D2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公务用车维护完成率</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97E8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B47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279FB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B75EE">
            <w:pPr>
              <w:jc w:val="center"/>
              <w:rPr>
                <w:rFonts w:hint="eastAsia" w:ascii="仿宋" w:hAnsi="仿宋" w:eastAsia="仿宋" w:cs="仿宋"/>
                <w:i w:val="0"/>
                <w:iCs w:val="0"/>
                <w:color w:val="000000"/>
                <w:sz w:val="22"/>
                <w:szCs w:val="22"/>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90B02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产出质量</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A2E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认罪认罚适用率</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71EA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0945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55D40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CE332">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0522A">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B4E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公车维护合格率</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54FF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504C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5494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221CE">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BE8CF">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AF83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刑事检察审查起诉案件结案率</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1D9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D02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7B9D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AED2C">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07887">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E14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委托服务达标率</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4668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409E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090C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99D4F">
            <w:pPr>
              <w:jc w:val="center"/>
              <w:rPr>
                <w:rFonts w:hint="eastAsia" w:ascii="仿宋" w:hAnsi="仿宋" w:eastAsia="仿宋" w:cs="仿宋"/>
                <w:i w:val="0"/>
                <w:iCs w:val="0"/>
                <w:color w:val="000000"/>
                <w:sz w:val="22"/>
                <w:szCs w:val="22"/>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6053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产出时效</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35F1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受理刑事检察案件及时率</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7BB1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3EB5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28D5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F4FE4">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69854">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16A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资金支付及时率</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D29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970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7FD7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1DAF3">
            <w:pPr>
              <w:jc w:val="center"/>
              <w:rPr>
                <w:rFonts w:hint="eastAsia" w:ascii="仿宋" w:hAnsi="仿宋" w:eastAsia="仿宋" w:cs="仿宋"/>
                <w:i w:val="0"/>
                <w:iCs w:val="0"/>
                <w:color w:val="000000"/>
                <w:sz w:val="22"/>
                <w:szCs w:val="22"/>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7926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产出成本</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DBD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公务用车运行维护费</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D9AE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50F4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6022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53807">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76D4C">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C79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委托物业服务</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3247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B20A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313C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CBA79">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A264E">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19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项目总成本</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A52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3049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r>
      <w:tr w14:paraId="0B829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FA4CF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效益</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E4A85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社会效益指标</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8844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全面提升干警综合素能</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A5B0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F16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5.84</w:t>
            </w:r>
          </w:p>
        </w:tc>
      </w:tr>
      <w:tr w14:paraId="2270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4A426">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E243F">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41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提高办案效率</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8658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06DB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5.81</w:t>
            </w:r>
          </w:p>
        </w:tc>
      </w:tr>
      <w:tr w14:paraId="2E2AB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A4CEB">
            <w:pPr>
              <w:jc w:val="center"/>
              <w:rPr>
                <w:rFonts w:hint="eastAsia" w:ascii="仿宋" w:hAnsi="仿宋" w:eastAsia="仿宋" w:cs="仿宋"/>
                <w:i w:val="0"/>
                <w:iCs w:val="0"/>
                <w:color w:val="000000"/>
                <w:sz w:val="22"/>
                <w:szCs w:val="22"/>
                <w:u w:val="none"/>
              </w:rPr>
            </w:pP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E23F2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可持续影响指标</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EADA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加强社会主义法制建设</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5A9B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EEA5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14:paraId="35AC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6C71B">
            <w:pPr>
              <w:jc w:val="center"/>
              <w:rPr>
                <w:rFonts w:hint="eastAsia" w:ascii="仿宋" w:hAnsi="仿宋" w:eastAsia="仿宋" w:cs="仿宋"/>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F50A7">
            <w:pPr>
              <w:jc w:val="center"/>
              <w:rPr>
                <w:rFonts w:hint="eastAsia" w:ascii="仿宋" w:hAnsi="仿宋" w:eastAsia="仿宋" w:cs="仿宋"/>
                <w:i w:val="0"/>
                <w:iCs w:val="0"/>
                <w:color w:val="000000"/>
                <w:sz w:val="22"/>
                <w:szCs w:val="22"/>
                <w:u w:val="none"/>
              </w:rPr>
            </w:pP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EF6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健全办案保障机制</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7708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16B5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14:paraId="6B69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D45F1">
            <w:pPr>
              <w:jc w:val="center"/>
              <w:rPr>
                <w:rFonts w:hint="eastAsia" w:ascii="仿宋" w:hAnsi="仿宋" w:eastAsia="仿宋" w:cs="仿宋"/>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193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满意度指标</w:t>
            </w:r>
          </w:p>
        </w:tc>
        <w:tc>
          <w:tcPr>
            <w:tcW w:w="4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4870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办案人员满意度</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6619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8C6F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14:paraId="74E2E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641" w:type="dxa"/>
            <w:gridSpan w:val="3"/>
            <w:tcBorders>
              <w:top w:val="nil"/>
              <w:left w:val="single" w:color="000000" w:sz="8" w:space="0"/>
              <w:bottom w:val="single" w:color="000000" w:sz="8" w:space="0"/>
              <w:right w:val="single" w:color="000000" w:sz="8" w:space="0"/>
            </w:tcBorders>
            <w:shd w:val="clear" w:color="auto" w:fill="FFFFFF"/>
            <w:vAlign w:val="center"/>
          </w:tcPr>
          <w:p w14:paraId="1FD31A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1091" w:type="dxa"/>
            <w:tcBorders>
              <w:top w:val="nil"/>
              <w:left w:val="single" w:color="000000" w:sz="8" w:space="0"/>
              <w:bottom w:val="single" w:color="000000" w:sz="8" w:space="0"/>
              <w:right w:val="single" w:color="000000" w:sz="8" w:space="0"/>
            </w:tcBorders>
            <w:shd w:val="clear" w:color="auto" w:fill="FFFFFF"/>
            <w:vAlign w:val="center"/>
          </w:tcPr>
          <w:p w14:paraId="3A4DDF52">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100</w:t>
            </w:r>
          </w:p>
        </w:tc>
        <w:tc>
          <w:tcPr>
            <w:tcW w:w="1004" w:type="dxa"/>
            <w:tcBorders>
              <w:top w:val="nil"/>
              <w:left w:val="single" w:color="000000" w:sz="8" w:space="0"/>
              <w:bottom w:val="single" w:color="000000" w:sz="8" w:space="0"/>
              <w:right w:val="single" w:color="000000" w:sz="8" w:space="0"/>
            </w:tcBorders>
            <w:shd w:val="clear" w:color="auto" w:fill="FFFFFF"/>
            <w:vAlign w:val="center"/>
          </w:tcPr>
          <w:p w14:paraId="3E546E1B">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95.65</w:t>
            </w:r>
          </w:p>
        </w:tc>
      </w:tr>
    </w:tbl>
    <w:p w14:paraId="47AB9846">
      <w:pPr>
        <w:pStyle w:val="3"/>
        <w:ind w:left="0" w:leftChars="0" w:firstLine="0" w:firstLineChars="0"/>
      </w:pPr>
    </w:p>
    <w:p w14:paraId="1F1CAB10">
      <w:pPr>
        <w:pStyle w:val="4"/>
        <w:sectPr>
          <w:pgSz w:w="11906" w:h="16838"/>
          <w:pgMar w:top="1440" w:right="1587" w:bottom="1440" w:left="1587" w:header="822" w:footer="992" w:gutter="0"/>
          <w:pgBorders>
            <w:top w:val="none" w:sz="0" w:space="0"/>
            <w:left w:val="none" w:sz="0" w:space="0"/>
            <w:bottom w:val="none" w:sz="0" w:space="0"/>
            <w:right w:val="none" w:sz="0" w:space="0"/>
          </w:pgBorders>
          <w:cols w:space="0" w:num="1"/>
          <w:docGrid w:type="lines" w:linePitch="410" w:charSpace="0"/>
        </w:sectPr>
      </w:pPr>
    </w:p>
    <w:p w14:paraId="10DF516B">
      <w:pPr>
        <w:widowControl/>
        <w:ind w:firstLine="640"/>
        <w:jc w:val="left"/>
        <w:outlineLvl w:val="0"/>
        <w:rPr>
          <w:rFonts w:hint="default" w:eastAsia="黑体" w:cs="黑体"/>
          <w:kern w:val="0"/>
          <w:sz w:val="32"/>
          <w:szCs w:val="32"/>
          <w:lang w:val="en-US" w:eastAsia="zh-CN" w:bidi="ar"/>
        </w:rPr>
      </w:pPr>
      <w:bookmarkStart w:id="199" w:name="_Toc967"/>
      <w:bookmarkStart w:id="200" w:name="_Toc27484"/>
      <w:r>
        <w:rPr>
          <w:rFonts w:hint="eastAsia" w:eastAsia="黑体" w:cs="黑体"/>
          <w:bCs/>
          <w:kern w:val="0"/>
          <w:sz w:val="32"/>
          <w:szCs w:val="32"/>
          <w:lang w:bidi="ar"/>
        </w:rPr>
        <w:t>附件</w:t>
      </w:r>
      <w:r>
        <w:rPr>
          <w:rFonts w:hint="eastAsia" w:eastAsia="黑体" w:cs="黑体"/>
          <w:bCs/>
          <w:kern w:val="0"/>
          <w:sz w:val="32"/>
          <w:szCs w:val="32"/>
          <w:lang w:val="en-US" w:eastAsia="zh-CN" w:bidi="ar"/>
        </w:rPr>
        <w:t>3</w:t>
      </w:r>
      <w:r>
        <w:rPr>
          <w:rFonts w:hint="eastAsia" w:eastAsia="黑体" w:cs="黑体"/>
          <w:bCs/>
          <w:kern w:val="0"/>
          <w:sz w:val="32"/>
          <w:szCs w:val="32"/>
          <w:lang w:bidi="ar"/>
        </w:rPr>
        <w:t>：</w:t>
      </w:r>
      <w:r>
        <w:rPr>
          <w:rFonts w:hint="eastAsia" w:eastAsia="黑体" w:cs="黑体"/>
          <w:kern w:val="0"/>
          <w:sz w:val="32"/>
          <w:szCs w:val="32"/>
          <w:lang w:val="en-US" w:eastAsia="zh-CN" w:bidi="ar"/>
        </w:rPr>
        <w:t>调查问卷</w:t>
      </w:r>
      <w:bookmarkEnd w:id="199"/>
    </w:p>
    <w:bookmarkEnd w:id="198"/>
    <w:bookmarkEnd w:id="200"/>
    <w:p w14:paraId="350EA707">
      <w:pPr>
        <w:autoSpaceDE w:val="0"/>
        <w:autoSpaceDN w:val="0"/>
        <w:adjustRightInd/>
        <w:snapToGrid/>
        <w:spacing w:before="120" w:after="120" w:line="276" w:lineRule="auto"/>
        <w:ind w:left="320" w:leftChars="100" w:right="320" w:rightChars="100" w:firstLine="0" w:firstLineChars="0"/>
        <w:jc w:val="center"/>
        <w:rPr>
          <w:rFonts w:ascii="Calibri" w:hAnsi="Calibri" w:eastAsia="微软雅黑" w:cs="Times New Roman"/>
          <w:kern w:val="2"/>
          <w:sz w:val="24"/>
          <w:szCs w:val="22"/>
          <w:lang w:val="en-US" w:eastAsia="zh-CN" w:bidi="ar-SA"/>
        </w:rPr>
      </w:pPr>
      <w:r>
        <w:rPr>
          <w:rFonts w:ascii="Calibri" w:hAnsi="Calibri" w:eastAsia="微软雅黑" w:cs="Times New Roman"/>
          <w:kern w:val="2"/>
          <w:sz w:val="24"/>
          <w:szCs w:val="22"/>
          <w:lang w:val="en-US" w:eastAsia="zh-CN" w:bidi="ar-SA"/>
        </w:rPr>
        <w:t>杭锦旗人民检察院满意度调查问卷</w:t>
      </w:r>
    </w:p>
    <w:p w14:paraId="320DA182">
      <w:pPr>
        <w:autoSpaceDE w:val="0"/>
        <w:autoSpaceDN w:val="0"/>
        <w:adjustRightInd/>
        <w:snapToGrid/>
        <w:spacing w:before="120" w:after="120" w:line="276" w:lineRule="auto"/>
        <w:ind w:left="320" w:leftChars="100" w:right="320" w:rightChars="100" w:firstLine="0" w:firstLineChars="0"/>
        <w:jc w:val="center"/>
        <w:rPr>
          <w:rFonts w:ascii="Calibri" w:hAnsi="Calibri" w:eastAsia="微软雅黑" w:cs="Times New Roman"/>
          <w:kern w:val="2"/>
          <w:sz w:val="24"/>
          <w:szCs w:val="22"/>
          <w:lang w:val="en-US" w:eastAsia="zh-CN" w:bidi="ar-SA"/>
        </w:rPr>
      </w:pPr>
    </w:p>
    <w:p w14:paraId="1E84A117">
      <w:pPr>
        <w:autoSpaceDE w:val="0"/>
        <w:autoSpaceDN w:val="0"/>
        <w:adjustRightInd/>
        <w:snapToGrid/>
        <w:spacing w:before="120" w:after="120" w:line="276" w:lineRule="auto"/>
        <w:ind w:left="320" w:leftChars="100" w:right="320" w:rightChars="100" w:firstLine="0" w:firstLineChars="0"/>
        <w:jc w:val="center"/>
        <w:rPr>
          <w:rFonts w:ascii="Calibri" w:hAnsi="Calibri" w:eastAsia="微软雅黑" w:cs="Times New Roman"/>
          <w:kern w:val="2"/>
          <w:sz w:val="24"/>
          <w:szCs w:val="22"/>
          <w:lang w:val="en-US" w:eastAsia="zh-CN" w:bidi="ar-SA"/>
        </w:rPr>
      </w:pPr>
    </w:p>
    <w:p w14:paraId="1B733D4B">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Q1.您对我院部门工作现状的总体评价是：</w:t>
      </w:r>
    </w:p>
    <w:p w14:paraId="4A8E4D41">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drawing>
          <wp:inline distT="0" distB="0" distL="114300" distR="114300">
            <wp:extent cx="4483100" cy="2714625"/>
            <wp:effectExtent l="4445" t="5080" r="8255" b="444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14:paraId="0864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1B22CBEF">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14:paraId="5D60B4FE">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14:paraId="7426AD12">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14:paraId="1028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1627C3FE">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14:paraId="71D829F7">
            <w:pPr>
              <w:widowControl/>
              <w:tabs>
                <w:tab w:val="center" w:pos="1276"/>
              </w:tabs>
              <w:autoSpaceDE w:val="0"/>
              <w:autoSpaceDN w:val="0"/>
              <w:adjustRightInd/>
              <w:snapToGrid/>
              <w:spacing w:line="276" w:lineRule="auto"/>
              <w:ind w:firstLine="0" w:firstLineChars="0"/>
              <w:jc w:val="both"/>
              <w:rPr>
                <w:rFonts w:hint="default"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47</w:t>
            </w:r>
          </w:p>
        </w:tc>
        <w:tc>
          <w:tcPr>
            <w:tcW w:w="2769" w:type="dxa"/>
          </w:tcPr>
          <w:p w14:paraId="04DEAB9E">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92.16</w:t>
            </w:r>
            <w:r>
              <w:rPr>
                <w:rFonts w:ascii="Calibri" w:hAnsi="Calibri" w:eastAsia="宋体" w:cs="Times New Roman"/>
                <w:color w:val="3F3F3F"/>
                <w:sz w:val="21"/>
                <w:szCs w:val="22"/>
              </w:rPr>
              <w:t>%</w:t>
            </w:r>
          </w:p>
        </w:tc>
      </w:tr>
      <w:tr w14:paraId="6617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41BE0EAF">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14:paraId="045C23FA">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3</w:t>
            </w:r>
          </w:p>
        </w:tc>
        <w:tc>
          <w:tcPr>
            <w:tcW w:w="2769" w:type="dxa"/>
          </w:tcPr>
          <w:p w14:paraId="728C754D">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5.88</w:t>
            </w:r>
            <w:r>
              <w:rPr>
                <w:rFonts w:ascii="Calibri" w:hAnsi="Calibri" w:eastAsia="宋体" w:cs="Times New Roman"/>
                <w:color w:val="3F3F3F"/>
                <w:sz w:val="21"/>
                <w:szCs w:val="22"/>
              </w:rPr>
              <w:t>%</w:t>
            </w:r>
          </w:p>
        </w:tc>
      </w:tr>
      <w:tr w14:paraId="1BCD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670981B6">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14:paraId="1CB6B0A8">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w:t>
            </w:r>
          </w:p>
        </w:tc>
        <w:tc>
          <w:tcPr>
            <w:tcW w:w="2769" w:type="dxa"/>
          </w:tcPr>
          <w:p w14:paraId="6BBD5AA8">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1.96</w:t>
            </w:r>
            <w:r>
              <w:rPr>
                <w:rFonts w:ascii="Calibri" w:hAnsi="Calibri" w:eastAsia="宋体" w:cs="Times New Roman"/>
                <w:color w:val="3F3F3F"/>
                <w:sz w:val="21"/>
                <w:szCs w:val="22"/>
              </w:rPr>
              <w:t>%</w:t>
            </w:r>
          </w:p>
        </w:tc>
      </w:tr>
      <w:tr w14:paraId="3069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76C30C62">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14:paraId="1486F0A1">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14:paraId="1E537B3D">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14:paraId="5FF6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14:paraId="39CECFBE">
            <w:pPr>
              <w:widowControl/>
              <w:autoSpaceDE w:val="0"/>
              <w:autoSpaceDN w:val="0"/>
              <w:adjustRightInd/>
              <w:snapToGrid/>
              <w:spacing w:line="276" w:lineRule="auto"/>
              <w:ind w:firstLine="0" w:firstLineChars="0"/>
              <w:jc w:val="left"/>
              <w:rPr>
                <w:rFonts w:hint="default" w:ascii="Calibri" w:hAnsi="Calibri" w:eastAsia="宋体" w:cs="Times New Roman"/>
                <w:color w:val="3F3F3F"/>
                <w:sz w:val="21"/>
                <w:szCs w:val="22"/>
                <w:lang w:val="en-US" w:eastAsia="zh-CN"/>
              </w:rPr>
            </w:pPr>
            <w:r>
              <w:rPr>
                <w:rFonts w:ascii="Calibri" w:hAnsi="Calibri" w:eastAsia="宋体" w:cs="Times New Roman"/>
                <w:color w:val="3F3F3F"/>
                <w:sz w:val="21"/>
                <w:szCs w:val="22"/>
              </w:rPr>
              <w:t>回答人数</w:t>
            </w:r>
            <w:r>
              <w:rPr>
                <w:rFonts w:hint="eastAsia" w:ascii="Calibri" w:hAnsi="Calibri" w:eastAsia="宋体" w:cs="Times New Roman"/>
                <w:color w:val="3F3F3F"/>
                <w:sz w:val="21"/>
                <w:szCs w:val="22"/>
                <w:lang w:val="en-US" w:eastAsia="zh-CN"/>
              </w:rPr>
              <w:t>51</w:t>
            </w:r>
          </w:p>
        </w:tc>
      </w:tr>
    </w:tbl>
    <w:p w14:paraId="558C37DA">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Q2.您认为办案业务经费的支出对保障检察官队伍的稳定情况是否满意：</w:t>
      </w:r>
    </w:p>
    <w:p w14:paraId="59D35B91">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drawing>
          <wp:inline distT="0" distB="0" distL="114300" distR="114300">
            <wp:extent cx="4292600" cy="2267585"/>
            <wp:effectExtent l="4445" t="4445" r="8255" b="13970"/>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14:paraId="5929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9" w:type="dxa"/>
          </w:tcPr>
          <w:p w14:paraId="7D622BDA">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14:paraId="4B1DB3BF">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14:paraId="6DA75F10">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14:paraId="1556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2B493BC1">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14:paraId="7866229B">
            <w:pPr>
              <w:widowControl/>
              <w:autoSpaceDE w:val="0"/>
              <w:autoSpaceDN w:val="0"/>
              <w:adjustRightInd/>
              <w:snapToGrid/>
              <w:spacing w:line="276" w:lineRule="auto"/>
              <w:ind w:firstLine="0" w:firstLineChars="0"/>
              <w:jc w:val="both"/>
              <w:rPr>
                <w:rFonts w:hint="default"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44</w:t>
            </w:r>
          </w:p>
        </w:tc>
        <w:tc>
          <w:tcPr>
            <w:tcW w:w="2769" w:type="dxa"/>
          </w:tcPr>
          <w:p w14:paraId="595EE743">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86.27</w:t>
            </w:r>
            <w:r>
              <w:rPr>
                <w:rFonts w:ascii="Calibri" w:hAnsi="Calibri" w:eastAsia="宋体" w:cs="Times New Roman"/>
                <w:color w:val="3F3F3F"/>
                <w:sz w:val="21"/>
                <w:szCs w:val="22"/>
              </w:rPr>
              <w:t>%</w:t>
            </w:r>
          </w:p>
        </w:tc>
      </w:tr>
      <w:tr w14:paraId="2D22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01D90167">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14:paraId="6030DBD8">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eastAsia="zh-CN"/>
              </w:rPr>
            </w:pPr>
            <w:r>
              <w:rPr>
                <w:rFonts w:hint="eastAsia" w:ascii="Calibri" w:hAnsi="Calibri" w:eastAsia="宋体" w:cs="Times New Roman"/>
                <w:color w:val="3F3F3F"/>
                <w:sz w:val="21"/>
                <w:szCs w:val="22"/>
                <w:lang w:val="en-US" w:eastAsia="zh-CN"/>
              </w:rPr>
              <w:t>7</w:t>
            </w:r>
          </w:p>
        </w:tc>
        <w:tc>
          <w:tcPr>
            <w:tcW w:w="2769" w:type="dxa"/>
          </w:tcPr>
          <w:p w14:paraId="323EDC68">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13.73</w:t>
            </w:r>
            <w:r>
              <w:rPr>
                <w:rFonts w:ascii="Calibri" w:hAnsi="Calibri" w:eastAsia="宋体" w:cs="Times New Roman"/>
                <w:color w:val="3F3F3F"/>
                <w:sz w:val="21"/>
                <w:szCs w:val="22"/>
              </w:rPr>
              <w:t>%</w:t>
            </w:r>
          </w:p>
        </w:tc>
      </w:tr>
      <w:tr w14:paraId="487F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2786C0D5">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14:paraId="3C7561C6">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eastAsia="zh-CN"/>
              </w:rPr>
            </w:pPr>
            <w:r>
              <w:rPr>
                <w:rFonts w:hint="eastAsia" w:ascii="Calibri" w:hAnsi="Calibri" w:eastAsia="宋体" w:cs="Times New Roman"/>
                <w:color w:val="3F3F3F"/>
                <w:sz w:val="21"/>
                <w:szCs w:val="22"/>
                <w:lang w:val="en-US" w:eastAsia="zh-CN"/>
              </w:rPr>
              <w:t>0</w:t>
            </w:r>
          </w:p>
        </w:tc>
        <w:tc>
          <w:tcPr>
            <w:tcW w:w="2769" w:type="dxa"/>
          </w:tcPr>
          <w:p w14:paraId="7747254D">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0.00</w:t>
            </w:r>
            <w:r>
              <w:rPr>
                <w:rFonts w:ascii="Calibri" w:hAnsi="Calibri" w:eastAsia="宋体" w:cs="Times New Roman"/>
                <w:color w:val="3F3F3F"/>
                <w:sz w:val="21"/>
                <w:szCs w:val="22"/>
              </w:rPr>
              <w:t>%</w:t>
            </w:r>
          </w:p>
        </w:tc>
      </w:tr>
      <w:tr w14:paraId="3EAB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4CDA752A">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14:paraId="2B3263E2">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14:paraId="43CE36CD">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14:paraId="3724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14:paraId="59AA5252">
            <w:pPr>
              <w:widowControl/>
              <w:autoSpaceDE w:val="0"/>
              <w:autoSpaceDN w:val="0"/>
              <w:adjustRightInd/>
              <w:snapToGrid/>
              <w:spacing w:line="276" w:lineRule="auto"/>
              <w:ind w:firstLine="0" w:firstLineChars="0"/>
              <w:jc w:val="left"/>
              <w:rPr>
                <w:rFonts w:hint="default" w:ascii="Calibri" w:hAnsi="Calibri" w:eastAsia="宋体" w:cs="Times New Roman"/>
                <w:color w:val="3F3F3F"/>
                <w:sz w:val="21"/>
                <w:szCs w:val="22"/>
                <w:lang w:val="en-US" w:eastAsia="zh-CN"/>
              </w:rPr>
            </w:pPr>
            <w:r>
              <w:rPr>
                <w:rFonts w:ascii="Calibri" w:hAnsi="Calibri" w:eastAsia="宋体" w:cs="Times New Roman"/>
                <w:color w:val="3F3F3F"/>
                <w:sz w:val="21"/>
                <w:szCs w:val="22"/>
              </w:rPr>
              <w:t>回答人数</w:t>
            </w:r>
            <w:r>
              <w:rPr>
                <w:rFonts w:hint="eastAsia" w:ascii="Calibri" w:hAnsi="Calibri" w:eastAsia="宋体" w:cs="Times New Roman"/>
                <w:color w:val="3F3F3F"/>
                <w:sz w:val="21"/>
                <w:szCs w:val="22"/>
                <w:lang w:val="en-US" w:eastAsia="zh-CN"/>
              </w:rPr>
              <w:t>51</w:t>
            </w:r>
          </w:p>
        </w:tc>
      </w:tr>
    </w:tbl>
    <w:p w14:paraId="3C686CAA">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Q3.您认为办案业务经费的支出对提升办案质量情况是否满意：</w:t>
      </w:r>
    </w:p>
    <w:p w14:paraId="4286B58D">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drawing>
          <wp:inline distT="0" distB="0" distL="114300" distR="114300">
            <wp:extent cx="4178935" cy="2305685"/>
            <wp:effectExtent l="4445" t="5080" r="7620" b="13335"/>
            <wp:docPr id="1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14:paraId="3BD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67B41648">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14:paraId="626D9F1C">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14:paraId="213CB76A">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14:paraId="599A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467AB912">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14:paraId="6A81FF6D">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eastAsia="zh-CN"/>
              </w:rPr>
            </w:pPr>
            <w:r>
              <w:rPr>
                <w:rFonts w:hint="eastAsia" w:ascii="Calibri" w:hAnsi="Calibri" w:eastAsia="宋体" w:cs="Times New Roman"/>
                <w:color w:val="3F3F3F"/>
                <w:sz w:val="21"/>
                <w:szCs w:val="22"/>
                <w:lang w:val="en-US" w:eastAsia="zh-CN"/>
              </w:rPr>
              <w:t>43</w:t>
            </w:r>
          </w:p>
        </w:tc>
        <w:tc>
          <w:tcPr>
            <w:tcW w:w="2769" w:type="dxa"/>
          </w:tcPr>
          <w:p w14:paraId="6921A781">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84.31</w:t>
            </w:r>
            <w:r>
              <w:rPr>
                <w:rFonts w:ascii="Calibri" w:hAnsi="Calibri" w:eastAsia="宋体" w:cs="Times New Roman"/>
                <w:color w:val="3F3F3F"/>
                <w:sz w:val="21"/>
                <w:szCs w:val="22"/>
              </w:rPr>
              <w:t>%</w:t>
            </w:r>
          </w:p>
        </w:tc>
      </w:tr>
      <w:tr w14:paraId="2300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3A4146BF">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14:paraId="63A4227E">
            <w:pPr>
              <w:widowControl/>
              <w:autoSpaceDE w:val="0"/>
              <w:autoSpaceDN w:val="0"/>
              <w:adjustRightInd/>
              <w:snapToGrid/>
              <w:spacing w:line="276" w:lineRule="auto"/>
              <w:ind w:firstLine="0" w:firstLineChars="0"/>
              <w:jc w:val="both"/>
              <w:rPr>
                <w:rFonts w:hint="default"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8</w:t>
            </w:r>
          </w:p>
        </w:tc>
        <w:tc>
          <w:tcPr>
            <w:tcW w:w="2769" w:type="dxa"/>
          </w:tcPr>
          <w:p w14:paraId="059F5BD9">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15.69</w:t>
            </w:r>
            <w:r>
              <w:rPr>
                <w:rFonts w:ascii="Calibri" w:hAnsi="Calibri" w:eastAsia="宋体" w:cs="Times New Roman"/>
                <w:color w:val="3F3F3F"/>
                <w:sz w:val="21"/>
                <w:szCs w:val="22"/>
              </w:rPr>
              <w:t>%</w:t>
            </w:r>
          </w:p>
        </w:tc>
      </w:tr>
      <w:tr w14:paraId="5D99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142FED5E">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14:paraId="4D679F68">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0</w:t>
            </w:r>
          </w:p>
        </w:tc>
        <w:tc>
          <w:tcPr>
            <w:tcW w:w="2769" w:type="dxa"/>
          </w:tcPr>
          <w:p w14:paraId="01C3CB59">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0.00</w:t>
            </w:r>
            <w:r>
              <w:rPr>
                <w:rFonts w:ascii="Calibri" w:hAnsi="Calibri" w:eastAsia="宋体" w:cs="Times New Roman"/>
                <w:color w:val="3F3F3F"/>
                <w:sz w:val="21"/>
                <w:szCs w:val="22"/>
              </w:rPr>
              <w:t>%</w:t>
            </w:r>
          </w:p>
        </w:tc>
      </w:tr>
      <w:tr w14:paraId="06C9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7F1260C2">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14:paraId="48E3F7ED">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14:paraId="03563C28">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14:paraId="15C9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14:paraId="4A2E266D">
            <w:pPr>
              <w:widowControl/>
              <w:autoSpaceDE w:val="0"/>
              <w:autoSpaceDN w:val="0"/>
              <w:adjustRightInd/>
              <w:snapToGrid/>
              <w:spacing w:line="276" w:lineRule="auto"/>
              <w:ind w:firstLine="0" w:firstLineChars="0"/>
              <w:jc w:val="left"/>
              <w:rPr>
                <w:rFonts w:hint="default" w:ascii="Calibri" w:hAnsi="Calibri" w:eastAsia="宋体" w:cs="Times New Roman"/>
                <w:color w:val="3F3F3F"/>
                <w:sz w:val="21"/>
                <w:szCs w:val="22"/>
                <w:lang w:val="en-US" w:eastAsia="zh-CN"/>
              </w:rPr>
            </w:pPr>
            <w:r>
              <w:rPr>
                <w:rFonts w:ascii="Calibri" w:hAnsi="Calibri" w:eastAsia="宋体" w:cs="Times New Roman"/>
                <w:color w:val="3F3F3F"/>
                <w:sz w:val="21"/>
                <w:szCs w:val="22"/>
              </w:rPr>
              <w:t>回答人数</w:t>
            </w:r>
            <w:r>
              <w:rPr>
                <w:rFonts w:hint="eastAsia" w:ascii="Calibri" w:hAnsi="Calibri" w:eastAsia="宋体" w:cs="Times New Roman"/>
                <w:color w:val="3F3F3F"/>
                <w:sz w:val="21"/>
                <w:szCs w:val="22"/>
                <w:lang w:val="en-US" w:eastAsia="zh-CN"/>
              </w:rPr>
              <w:t>51</w:t>
            </w:r>
          </w:p>
        </w:tc>
      </w:tr>
    </w:tbl>
    <w:p w14:paraId="7F630303">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Q4.您认为办案业务经费的支出对提升办案效率情况是否满意：</w:t>
      </w:r>
    </w:p>
    <w:p w14:paraId="7EFFB8BA">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drawing>
          <wp:inline distT="0" distB="0" distL="114300" distR="114300">
            <wp:extent cx="4826000" cy="2286000"/>
            <wp:effectExtent l="4445" t="4445" r="8255" b="14605"/>
            <wp:docPr id="1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14:paraId="4906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257019E1">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14:paraId="2378AD8F">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14:paraId="2475A5FC">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14:paraId="6F3F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4FADBD60">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14:paraId="291FA1A9">
            <w:pPr>
              <w:widowControl/>
              <w:autoSpaceDE w:val="0"/>
              <w:autoSpaceDN w:val="0"/>
              <w:adjustRightInd/>
              <w:snapToGrid/>
              <w:spacing w:line="276" w:lineRule="auto"/>
              <w:ind w:firstLine="0" w:firstLineChars="0"/>
              <w:jc w:val="both"/>
              <w:rPr>
                <w:rFonts w:hint="default"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43</w:t>
            </w:r>
          </w:p>
        </w:tc>
        <w:tc>
          <w:tcPr>
            <w:tcW w:w="2769" w:type="dxa"/>
          </w:tcPr>
          <w:p w14:paraId="6DDF7F03">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84.31</w:t>
            </w:r>
            <w:r>
              <w:rPr>
                <w:rFonts w:ascii="Calibri" w:hAnsi="Calibri" w:eastAsia="宋体" w:cs="Times New Roman"/>
                <w:color w:val="3F3F3F"/>
                <w:sz w:val="21"/>
                <w:szCs w:val="22"/>
              </w:rPr>
              <w:t>%</w:t>
            </w:r>
          </w:p>
        </w:tc>
      </w:tr>
      <w:tr w14:paraId="4361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67D1DA03">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14:paraId="6C2EE64B">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8</w:t>
            </w:r>
          </w:p>
        </w:tc>
        <w:tc>
          <w:tcPr>
            <w:tcW w:w="2769" w:type="dxa"/>
          </w:tcPr>
          <w:p w14:paraId="657344F3">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15.69</w:t>
            </w:r>
            <w:r>
              <w:rPr>
                <w:rFonts w:ascii="Calibri" w:hAnsi="Calibri" w:eastAsia="宋体" w:cs="Times New Roman"/>
                <w:color w:val="3F3F3F"/>
                <w:sz w:val="21"/>
                <w:szCs w:val="22"/>
              </w:rPr>
              <w:t>%</w:t>
            </w:r>
          </w:p>
        </w:tc>
      </w:tr>
      <w:tr w14:paraId="3160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11788C80">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14:paraId="0A85EF1F">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0</w:t>
            </w:r>
          </w:p>
        </w:tc>
        <w:tc>
          <w:tcPr>
            <w:tcW w:w="2769" w:type="dxa"/>
          </w:tcPr>
          <w:p w14:paraId="252E133E">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0.00</w:t>
            </w:r>
            <w:r>
              <w:rPr>
                <w:rFonts w:ascii="Calibri" w:hAnsi="Calibri" w:eastAsia="宋体" w:cs="Times New Roman"/>
                <w:color w:val="3F3F3F"/>
                <w:sz w:val="21"/>
                <w:szCs w:val="22"/>
              </w:rPr>
              <w:t>%</w:t>
            </w:r>
          </w:p>
        </w:tc>
      </w:tr>
      <w:tr w14:paraId="2ABB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50A6B03A">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14:paraId="385F14CF">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14:paraId="24ED0C9D">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14:paraId="5A73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14:paraId="5FA38432">
            <w:pPr>
              <w:widowControl/>
              <w:autoSpaceDE w:val="0"/>
              <w:autoSpaceDN w:val="0"/>
              <w:adjustRightInd/>
              <w:snapToGrid/>
              <w:spacing w:line="276" w:lineRule="auto"/>
              <w:ind w:firstLine="0" w:firstLineChars="0"/>
              <w:jc w:val="left"/>
              <w:rPr>
                <w:rFonts w:hint="default" w:ascii="Calibri" w:hAnsi="Calibri" w:eastAsia="宋体" w:cs="Times New Roman"/>
                <w:color w:val="3F3F3F"/>
                <w:sz w:val="21"/>
                <w:szCs w:val="22"/>
                <w:lang w:val="en-US" w:eastAsia="zh-CN"/>
              </w:rPr>
            </w:pPr>
            <w:r>
              <w:rPr>
                <w:rFonts w:ascii="Calibri" w:hAnsi="Calibri" w:eastAsia="宋体" w:cs="Times New Roman"/>
                <w:color w:val="3F3F3F"/>
                <w:sz w:val="21"/>
                <w:szCs w:val="22"/>
              </w:rPr>
              <w:t>回答人数</w:t>
            </w:r>
            <w:r>
              <w:rPr>
                <w:rFonts w:hint="eastAsia" w:ascii="Calibri" w:hAnsi="Calibri" w:eastAsia="宋体" w:cs="Times New Roman"/>
                <w:color w:val="3F3F3F"/>
                <w:sz w:val="21"/>
                <w:szCs w:val="22"/>
                <w:lang w:val="en-US" w:eastAsia="zh-CN"/>
              </w:rPr>
              <w:t>51</w:t>
            </w:r>
          </w:p>
        </w:tc>
      </w:tr>
    </w:tbl>
    <w:p w14:paraId="3F2823DC">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Q5.您认为业务装备经费所购买设备的质量、种类、型号及使用是否满意：</w:t>
      </w:r>
    </w:p>
    <w:p w14:paraId="76DFD550">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drawing>
          <wp:inline distT="0" distB="0" distL="114300" distR="114300">
            <wp:extent cx="4312285" cy="2049145"/>
            <wp:effectExtent l="4445" t="5080" r="7620" b="22225"/>
            <wp:docPr id="1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14:paraId="0EBF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63462F63">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14:paraId="1016E08D">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14:paraId="0AA3E392">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14:paraId="2C69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234476B1">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14:paraId="65EEDE74">
            <w:pPr>
              <w:widowControl/>
              <w:autoSpaceDE w:val="0"/>
              <w:autoSpaceDN w:val="0"/>
              <w:adjustRightInd/>
              <w:snapToGrid/>
              <w:spacing w:line="276" w:lineRule="auto"/>
              <w:ind w:firstLine="0" w:firstLineChars="0"/>
              <w:jc w:val="both"/>
              <w:rPr>
                <w:rFonts w:hint="default"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44</w:t>
            </w:r>
          </w:p>
        </w:tc>
        <w:tc>
          <w:tcPr>
            <w:tcW w:w="2769" w:type="dxa"/>
          </w:tcPr>
          <w:p w14:paraId="7257A4A1">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86.27</w:t>
            </w:r>
            <w:r>
              <w:rPr>
                <w:rFonts w:ascii="Calibri" w:hAnsi="Calibri" w:eastAsia="宋体" w:cs="Times New Roman"/>
                <w:color w:val="3F3F3F"/>
                <w:sz w:val="21"/>
                <w:szCs w:val="22"/>
              </w:rPr>
              <w:t>%</w:t>
            </w:r>
          </w:p>
        </w:tc>
      </w:tr>
      <w:tr w14:paraId="71F9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003EE678">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14:paraId="476627BF">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6</w:t>
            </w:r>
          </w:p>
        </w:tc>
        <w:tc>
          <w:tcPr>
            <w:tcW w:w="2769" w:type="dxa"/>
          </w:tcPr>
          <w:p w14:paraId="6C8CB73A">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11.76</w:t>
            </w:r>
            <w:r>
              <w:rPr>
                <w:rFonts w:ascii="Calibri" w:hAnsi="Calibri" w:eastAsia="宋体" w:cs="Times New Roman"/>
                <w:color w:val="3F3F3F"/>
                <w:sz w:val="21"/>
                <w:szCs w:val="22"/>
              </w:rPr>
              <w:t>%</w:t>
            </w:r>
          </w:p>
        </w:tc>
      </w:tr>
      <w:tr w14:paraId="4556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3F745D5E">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14:paraId="10204483">
            <w:pPr>
              <w:widowControl/>
              <w:autoSpaceDE w:val="0"/>
              <w:autoSpaceDN w:val="0"/>
              <w:adjustRightInd/>
              <w:snapToGrid/>
              <w:spacing w:line="276" w:lineRule="auto"/>
              <w:ind w:firstLine="0" w:firstLineChars="0"/>
              <w:jc w:val="both"/>
              <w:rPr>
                <w:rFonts w:hint="default"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1</w:t>
            </w:r>
          </w:p>
        </w:tc>
        <w:tc>
          <w:tcPr>
            <w:tcW w:w="2769" w:type="dxa"/>
          </w:tcPr>
          <w:p w14:paraId="475EA619">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1.97</w:t>
            </w:r>
            <w:r>
              <w:rPr>
                <w:rFonts w:ascii="Calibri" w:hAnsi="Calibri" w:eastAsia="宋体" w:cs="Times New Roman"/>
                <w:color w:val="3F3F3F"/>
                <w:sz w:val="21"/>
                <w:szCs w:val="22"/>
              </w:rPr>
              <w:t>%</w:t>
            </w:r>
          </w:p>
        </w:tc>
      </w:tr>
      <w:tr w14:paraId="3CAE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6C3D151C">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14:paraId="7E526B6B">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14:paraId="1A817CDA">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14:paraId="5C51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14:paraId="76E9943D">
            <w:pPr>
              <w:widowControl/>
              <w:autoSpaceDE w:val="0"/>
              <w:autoSpaceDN w:val="0"/>
              <w:adjustRightInd/>
              <w:snapToGrid/>
              <w:spacing w:line="276" w:lineRule="auto"/>
              <w:ind w:firstLine="0" w:firstLineChars="0"/>
              <w:jc w:val="left"/>
              <w:rPr>
                <w:rFonts w:hint="default" w:ascii="Calibri" w:hAnsi="Calibri" w:eastAsia="宋体" w:cs="Times New Roman"/>
                <w:color w:val="3F3F3F"/>
                <w:sz w:val="21"/>
                <w:szCs w:val="22"/>
                <w:lang w:val="en-US" w:eastAsia="zh-CN"/>
              </w:rPr>
            </w:pPr>
            <w:r>
              <w:rPr>
                <w:rFonts w:ascii="Calibri" w:hAnsi="Calibri" w:eastAsia="宋体" w:cs="Times New Roman"/>
                <w:color w:val="3F3F3F"/>
                <w:sz w:val="21"/>
                <w:szCs w:val="22"/>
              </w:rPr>
              <w:t>回答人数</w:t>
            </w:r>
            <w:r>
              <w:rPr>
                <w:rFonts w:hint="eastAsia" w:ascii="Calibri" w:hAnsi="Calibri" w:eastAsia="宋体" w:cs="Times New Roman"/>
                <w:color w:val="3F3F3F"/>
                <w:sz w:val="21"/>
                <w:szCs w:val="22"/>
                <w:lang w:val="en-US" w:eastAsia="zh-CN"/>
              </w:rPr>
              <w:t>51</w:t>
            </w:r>
          </w:p>
        </w:tc>
      </w:tr>
    </w:tbl>
    <w:p w14:paraId="3142DE22">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Q6.您认为业务装备经费的支出对提升我院装备的科技化建设是否满意：</w:t>
      </w:r>
    </w:p>
    <w:p w14:paraId="183D7D77">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drawing>
          <wp:inline distT="0" distB="0" distL="114300" distR="114300">
            <wp:extent cx="4436110" cy="1915795"/>
            <wp:effectExtent l="4445" t="4445" r="17145" b="22860"/>
            <wp:docPr id="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14:paraId="5470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9" w:type="dxa"/>
          </w:tcPr>
          <w:p w14:paraId="2498FC7B">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14:paraId="665E2F77">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14:paraId="19F15F4F">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14:paraId="58D1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1ACFDAA6">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14:paraId="50A32A1F">
            <w:pPr>
              <w:widowControl/>
              <w:autoSpaceDE w:val="0"/>
              <w:autoSpaceDN w:val="0"/>
              <w:adjustRightInd/>
              <w:snapToGrid/>
              <w:spacing w:line="276" w:lineRule="auto"/>
              <w:ind w:firstLine="0" w:firstLineChars="0"/>
              <w:jc w:val="both"/>
              <w:rPr>
                <w:rFonts w:hint="default"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45</w:t>
            </w:r>
          </w:p>
        </w:tc>
        <w:tc>
          <w:tcPr>
            <w:tcW w:w="2769" w:type="dxa"/>
          </w:tcPr>
          <w:p w14:paraId="382237B3">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88.24</w:t>
            </w:r>
            <w:r>
              <w:rPr>
                <w:rFonts w:ascii="Calibri" w:hAnsi="Calibri" w:eastAsia="宋体" w:cs="Times New Roman"/>
                <w:color w:val="3F3F3F"/>
                <w:sz w:val="21"/>
                <w:szCs w:val="22"/>
              </w:rPr>
              <w:t>%</w:t>
            </w:r>
          </w:p>
        </w:tc>
      </w:tr>
      <w:tr w14:paraId="371E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7FDDB9F9">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14:paraId="6C8E2212">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5</w:t>
            </w:r>
          </w:p>
        </w:tc>
        <w:tc>
          <w:tcPr>
            <w:tcW w:w="2769" w:type="dxa"/>
          </w:tcPr>
          <w:p w14:paraId="12E01915">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9.80</w:t>
            </w:r>
            <w:r>
              <w:rPr>
                <w:rFonts w:ascii="Calibri" w:hAnsi="Calibri" w:eastAsia="宋体" w:cs="Times New Roman"/>
                <w:color w:val="3F3F3F"/>
                <w:sz w:val="21"/>
                <w:szCs w:val="22"/>
              </w:rPr>
              <w:t>%</w:t>
            </w:r>
          </w:p>
        </w:tc>
      </w:tr>
      <w:tr w14:paraId="0BF2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7A94C4AF">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14:paraId="7BBD0696">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1</w:t>
            </w:r>
          </w:p>
        </w:tc>
        <w:tc>
          <w:tcPr>
            <w:tcW w:w="2769" w:type="dxa"/>
          </w:tcPr>
          <w:p w14:paraId="4F6F82F5">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1.96</w:t>
            </w:r>
            <w:r>
              <w:rPr>
                <w:rFonts w:ascii="Calibri" w:hAnsi="Calibri" w:eastAsia="宋体" w:cs="Times New Roman"/>
                <w:color w:val="3F3F3F"/>
                <w:sz w:val="21"/>
                <w:szCs w:val="22"/>
              </w:rPr>
              <w:t>%</w:t>
            </w:r>
          </w:p>
        </w:tc>
      </w:tr>
      <w:tr w14:paraId="735B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39013E2C">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14:paraId="57CEE2D1">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14:paraId="7C7E9326">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14:paraId="560C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14:paraId="48A92148">
            <w:pPr>
              <w:widowControl/>
              <w:autoSpaceDE w:val="0"/>
              <w:autoSpaceDN w:val="0"/>
              <w:adjustRightInd/>
              <w:snapToGrid/>
              <w:spacing w:line="276" w:lineRule="auto"/>
              <w:ind w:firstLine="0" w:firstLineChars="0"/>
              <w:jc w:val="left"/>
              <w:rPr>
                <w:rFonts w:hint="default" w:ascii="Calibri" w:hAnsi="Calibri" w:eastAsia="宋体" w:cs="Times New Roman"/>
                <w:color w:val="3F3F3F"/>
                <w:sz w:val="21"/>
                <w:szCs w:val="22"/>
                <w:lang w:val="en-US" w:eastAsia="zh-CN"/>
              </w:rPr>
            </w:pPr>
            <w:r>
              <w:rPr>
                <w:rFonts w:ascii="Calibri" w:hAnsi="Calibri" w:eastAsia="宋体" w:cs="Times New Roman"/>
                <w:color w:val="3F3F3F"/>
                <w:sz w:val="21"/>
                <w:szCs w:val="22"/>
              </w:rPr>
              <w:t>回答人数</w:t>
            </w:r>
            <w:r>
              <w:rPr>
                <w:rFonts w:hint="eastAsia" w:ascii="Calibri" w:hAnsi="Calibri" w:eastAsia="宋体" w:cs="Times New Roman"/>
                <w:color w:val="3F3F3F"/>
                <w:sz w:val="21"/>
                <w:szCs w:val="22"/>
                <w:lang w:val="en-US" w:eastAsia="zh-CN"/>
              </w:rPr>
              <w:t>51</w:t>
            </w:r>
          </w:p>
        </w:tc>
      </w:tr>
    </w:tbl>
    <w:p w14:paraId="4A5136DE">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Q7.您认为业务装备经费的支出对提高我院办案的质量和精准度方面是否满意：</w:t>
      </w:r>
    </w:p>
    <w:p w14:paraId="2BDBCA27">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drawing>
          <wp:inline distT="0" distB="0" distL="114300" distR="114300">
            <wp:extent cx="4826000" cy="1884680"/>
            <wp:effectExtent l="4445" t="4445" r="8255" b="15875"/>
            <wp:docPr id="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14:paraId="015B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51B20F7A">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14:paraId="2EE1A7B3">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14:paraId="1E00AD90">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14:paraId="7C6C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5BEFC27A">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14:paraId="7DB381EA">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val="en-US" w:eastAsia="zh-CN"/>
              </w:rPr>
            </w:pPr>
            <w:r>
              <w:rPr>
                <w:rFonts w:ascii="Calibri" w:hAnsi="Calibri" w:eastAsia="宋体" w:cs="Times New Roman"/>
                <w:color w:val="3F3F3F"/>
                <w:sz w:val="21"/>
                <w:szCs w:val="22"/>
              </w:rPr>
              <w:t>4</w:t>
            </w:r>
            <w:r>
              <w:rPr>
                <w:rFonts w:hint="eastAsia" w:ascii="Calibri" w:hAnsi="Calibri" w:eastAsia="宋体" w:cs="Times New Roman"/>
                <w:color w:val="3F3F3F"/>
                <w:sz w:val="21"/>
                <w:szCs w:val="22"/>
                <w:lang w:val="en-US" w:eastAsia="zh-CN"/>
              </w:rPr>
              <w:t>3</w:t>
            </w:r>
          </w:p>
        </w:tc>
        <w:tc>
          <w:tcPr>
            <w:tcW w:w="2769" w:type="dxa"/>
          </w:tcPr>
          <w:p w14:paraId="43C5D8F9">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8</w:t>
            </w:r>
            <w:r>
              <w:rPr>
                <w:rFonts w:hint="eastAsia" w:ascii="Calibri" w:hAnsi="Calibri" w:eastAsia="宋体" w:cs="Times New Roman"/>
                <w:color w:val="3F3F3F"/>
                <w:sz w:val="21"/>
                <w:szCs w:val="22"/>
                <w:lang w:val="en-US" w:eastAsia="zh-CN"/>
              </w:rPr>
              <w:t>4.31</w:t>
            </w:r>
            <w:r>
              <w:rPr>
                <w:rFonts w:ascii="Calibri" w:hAnsi="Calibri" w:eastAsia="宋体" w:cs="Times New Roman"/>
                <w:color w:val="3F3F3F"/>
                <w:sz w:val="21"/>
                <w:szCs w:val="22"/>
              </w:rPr>
              <w:t>%</w:t>
            </w:r>
          </w:p>
        </w:tc>
      </w:tr>
      <w:tr w14:paraId="7FE6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12AD336A">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14:paraId="32AA7C77">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8</w:t>
            </w:r>
          </w:p>
        </w:tc>
        <w:tc>
          <w:tcPr>
            <w:tcW w:w="2769" w:type="dxa"/>
          </w:tcPr>
          <w:p w14:paraId="4F904F2F">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15.69</w:t>
            </w:r>
            <w:r>
              <w:rPr>
                <w:rFonts w:ascii="Calibri" w:hAnsi="Calibri" w:eastAsia="宋体" w:cs="Times New Roman"/>
                <w:color w:val="3F3F3F"/>
                <w:sz w:val="21"/>
                <w:szCs w:val="22"/>
              </w:rPr>
              <w:t>%</w:t>
            </w:r>
          </w:p>
        </w:tc>
      </w:tr>
      <w:tr w14:paraId="552F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682CF47D">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14:paraId="0C6FB79F">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0</w:t>
            </w:r>
          </w:p>
        </w:tc>
        <w:tc>
          <w:tcPr>
            <w:tcW w:w="2769" w:type="dxa"/>
          </w:tcPr>
          <w:p w14:paraId="15956E93">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0.00</w:t>
            </w:r>
            <w:r>
              <w:rPr>
                <w:rFonts w:ascii="Calibri" w:hAnsi="Calibri" w:eastAsia="宋体" w:cs="Times New Roman"/>
                <w:color w:val="3F3F3F"/>
                <w:sz w:val="21"/>
                <w:szCs w:val="22"/>
              </w:rPr>
              <w:t>%</w:t>
            </w:r>
          </w:p>
        </w:tc>
      </w:tr>
      <w:tr w14:paraId="0A54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4F5775C4">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14:paraId="25F0C944">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14:paraId="0A918D82">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14:paraId="4349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14:paraId="7841BC24">
            <w:pPr>
              <w:widowControl/>
              <w:autoSpaceDE w:val="0"/>
              <w:autoSpaceDN w:val="0"/>
              <w:adjustRightInd/>
              <w:snapToGrid/>
              <w:spacing w:line="276" w:lineRule="auto"/>
              <w:ind w:firstLine="0" w:firstLineChars="0"/>
              <w:jc w:val="left"/>
              <w:rPr>
                <w:rFonts w:hint="default" w:ascii="Calibri" w:hAnsi="Calibri" w:eastAsia="宋体" w:cs="Times New Roman"/>
                <w:color w:val="3F3F3F"/>
                <w:sz w:val="21"/>
                <w:szCs w:val="22"/>
                <w:lang w:val="en-US" w:eastAsia="zh-CN"/>
              </w:rPr>
            </w:pPr>
            <w:r>
              <w:rPr>
                <w:rFonts w:ascii="Calibri" w:hAnsi="Calibri" w:eastAsia="宋体" w:cs="Times New Roman"/>
                <w:color w:val="3F3F3F"/>
                <w:sz w:val="21"/>
                <w:szCs w:val="22"/>
              </w:rPr>
              <w:t>回答人数</w:t>
            </w:r>
            <w:r>
              <w:rPr>
                <w:rFonts w:hint="eastAsia" w:ascii="Calibri" w:hAnsi="Calibri" w:eastAsia="宋体" w:cs="Times New Roman"/>
                <w:color w:val="3F3F3F"/>
                <w:sz w:val="21"/>
                <w:szCs w:val="22"/>
                <w:lang w:val="en-US" w:eastAsia="zh-CN"/>
              </w:rPr>
              <w:t>51</w:t>
            </w:r>
          </w:p>
        </w:tc>
      </w:tr>
    </w:tbl>
    <w:p w14:paraId="485F0902">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p>
    <w:p w14:paraId="258A1CA3">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Q8.</w:t>
      </w:r>
      <w:r>
        <w:rPr>
          <w:rFonts w:hint="eastAsia" w:ascii="微软雅黑" w:hAnsi="微软雅黑" w:eastAsia="微软雅黑" w:cs="Times New Roman"/>
          <w:kern w:val="2"/>
          <w:sz w:val="18"/>
          <w:szCs w:val="22"/>
          <w:lang w:val="en-US" w:eastAsia="zh-CN" w:bidi="ar-SA"/>
        </w:rPr>
        <w:t>.您对我院“规范资金管理，提高资金使用效益”方面所做工作的评价是</w:t>
      </w:r>
      <w:r>
        <w:rPr>
          <w:rFonts w:ascii="微软雅黑" w:hAnsi="微软雅黑" w:eastAsia="微软雅黑" w:cs="Times New Roman"/>
          <w:kern w:val="2"/>
          <w:sz w:val="18"/>
          <w:szCs w:val="22"/>
          <w:lang w:val="en-US" w:eastAsia="zh-CN" w:bidi="ar-SA"/>
        </w:rPr>
        <w:t>：</w:t>
      </w:r>
    </w:p>
    <w:p w14:paraId="77A9EFC0">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drawing>
          <wp:inline distT="0" distB="0" distL="114300" distR="114300">
            <wp:extent cx="4826000" cy="1884680"/>
            <wp:effectExtent l="4445" t="4445" r="8255" b="15875"/>
            <wp:docPr id="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14:paraId="43DE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0B331BE8">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14:paraId="4834A34C">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14:paraId="000F6A70">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14:paraId="3896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1C259A1B">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14:paraId="000A1683">
            <w:pPr>
              <w:widowControl/>
              <w:autoSpaceDE w:val="0"/>
              <w:autoSpaceDN w:val="0"/>
              <w:adjustRightInd/>
              <w:snapToGrid/>
              <w:spacing w:line="276" w:lineRule="auto"/>
              <w:ind w:firstLine="0" w:firstLineChars="0"/>
              <w:jc w:val="both"/>
              <w:rPr>
                <w:rFonts w:hint="default"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43</w:t>
            </w:r>
          </w:p>
        </w:tc>
        <w:tc>
          <w:tcPr>
            <w:tcW w:w="2769" w:type="dxa"/>
          </w:tcPr>
          <w:p w14:paraId="3FF3A767">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84.31</w:t>
            </w:r>
            <w:r>
              <w:rPr>
                <w:rFonts w:ascii="Calibri" w:hAnsi="Calibri" w:eastAsia="宋体" w:cs="Times New Roman"/>
                <w:color w:val="3F3F3F"/>
                <w:sz w:val="21"/>
                <w:szCs w:val="22"/>
              </w:rPr>
              <w:t>%</w:t>
            </w:r>
          </w:p>
        </w:tc>
      </w:tr>
      <w:tr w14:paraId="4D31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23DDE9A1">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14:paraId="3D139EE6">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8</w:t>
            </w:r>
          </w:p>
        </w:tc>
        <w:tc>
          <w:tcPr>
            <w:tcW w:w="2769" w:type="dxa"/>
          </w:tcPr>
          <w:p w14:paraId="566D9FEC">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15.69</w:t>
            </w:r>
            <w:r>
              <w:rPr>
                <w:rFonts w:ascii="Calibri" w:hAnsi="Calibri" w:eastAsia="宋体" w:cs="Times New Roman"/>
                <w:color w:val="3F3F3F"/>
                <w:sz w:val="21"/>
                <w:szCs w:val="22"/>
              </w:rPr>
              <w:t>%</w:t>
            </w:r>
          </w:p>
        </w:tc>
      </w:tr>
      <w:tr w14:paraId="1627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6F13982A">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14:paraId="7F6F683D">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0</w:t>
            </w:r>
          </w:p>
        </w:tc>
        <w:tc>
          <w:tcPr>
            <w:tcW w:w="2769" w:type="dxa"/>
          </w:tcPr>
          <w:p w14:paraId="5A58C7E9">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0.00</w:t>
            </w:r>
            <w:r>
              <w:rPr>
                <w:rFonts w:ascii="Calibri" w:hAnsi="Calibri" w:eastAsia="宋体" w:cs="Times New Roman"/>
                <w:color w:val="3F3F3F"/>
                <w:sz w:val="21"/>
                <w:szCs w:val="22"/>
              </w:rPr>
              <w:t>%</w:t>
            </w:r>
          </w:p>
        </w:tc>
      </w:tr>
      <w:tr w14:paraId="4422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2FEA9B50">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14:paraId="2EEDC55E">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14:paraId="0124A821">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14:paraId="387B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14:paraId="2A5721CB">
            <w:pPr>
              <w:widowControl/>
              <w:autoSpaceDE w:val="0"/>
              <w:autoSpaceDN w:val="0"/>
              <w:adjustRightInd/>
              <w:snapToGrid/>
              <w:spacing w:line="276" w:lineRule="auto"/>
              <w:ind w:firstLine="0" w:firstLineChars="0"/>
              <w:jc w:val="left"/>
              <w:rPr>
                <w:rFonts w:hint="default" w:ascii="Calibri" w:hAnsi="Calibri" w:eastAsia="宋体" w:cs="Times New Roman"/>
                <w:color w:val="3F3F3F"/>
                <w:sz w:val="21"/>
                <w:szCs w:val="22"/>
                <w:lang w:val="en-US" w:eastAsia="zh-CN"/>
              </w:rPr>
            </w:pPr>
            <w:r>
              <w:rPr>
                <w:rFonts w:ascii="Calibri" w:hAnsi="Calibri" w:eastAsia="宋体" w:cs="Times New Roman"/>
                <w:color w:val="3F3F3F"/>
                <w:sz w:val="21"/>
                <w:szCs w:val="22"/>
              </w:rPr>
              <w:t>回答人数</w:t>
            </w:r>
            <w:r>
              <w:rPr>
                <w:rFonts w:hint="eastAsia" w:ascii="Calibri" w:hAnsi="Calibri" w:eastAsia="宋体" w:cs="Times New Roman"/>
                <w:color w:val="3F3F3F"/>
                <w:sz w:val="21"/>
                <w:szCs w:val="22"/>
                <w:lang w:val="en-US" w:eastAsia="zh-CN"/>
              </w:rPr>
              <w:t>51</w:t>
            </w:r>
          </w:p>
        </w:tc>
      </w:tr>
    </w:tbl>
    <w:p w14:paraId="7450CADC">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Q9.</w:t>
      </w:r>
      <w:r>
        <w:rPr>
          <w:rFonts w:hint="eastAsia" w:ascii="微软雅黑" w:hAnsi="微软雅黑" w:eastAsia="微软雅黑" w:cs="Times New Roman"/>
          <w:kern w:val="2"/>
          <w:sz w:val="18"/>
          <w:szCs w:val="22"/>
          <w:lang w:val="en-US" w:eastAsia="zh-CN" w:bidi="ar-SA"/>
        </w:rPr>
        <w:t>您对我院问题解决的有效性及工作效率是否满意</w:t>
      </w:r>
      <w:r>
        <w:rPr>
          <w:rFonts w:ascii="微软雅黑" w:hAnsi="微软雅黑" w:eastAsia="微软雅黑" w:cs="Times New Roman"/>
          <w:kern w:val="2"/>
          <w:sz w:val="18"/>
          <w:szCs w:val="22"/>
          <w:lang w:val="en-US" w:eastAsia="zh-CN" w:bidi="ar-SA"/>
        </w:rPr>
        <w:t>：</w:t>
      </w:r>
    </w:p>
    <w:p w14:paraId="05CAF1CA">
      <w:pPr>
        <w:widowControl/>
        <w:autoSpaceDE w:val="0"/>
        <w:autoSpaceDN w:val="0"/>
        <w:adjustRightInd/>
        <w:snapToGrid/>
        <w:spacing w:line="276" w:lineRule="auto"/>
        <w:ind w:firstLine="0" w:firstLineChars="0"/>
        <w:jc w:val="center"/>
        <w:rPr>
          <w:rFonts w:ascii="Calibri" w:hAnsi="Calibri" w:eastAsia="宋体" w:cs="Times New Roman"/>
          <w:sz w:val="21"/>
          <w:szCs w:val="22"/>
        </w:rPr>
      </w:pPr>
      <w:r>
        <w:drawing>
          <wp:inline distT="0" distB="0" distL="114300" distR="114300">
            <wp:extent cx="4826000" cy="2029460"/>
            <wp:effectExtent l="5080" t="4445" r="7620" b="2349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14:paraId="4480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53B3CE9D">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14:paraId="22A9E1FC">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14:paraId="10D364BE">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百分比</w:t>
            </w:r>
          </w:p>
        </w:tc>
      </w:tr>
      <w:tr w14:paraId="40C4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62159B6B">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14:paraId="26A65E94">
            <w:pPr>
              <w:widowControl/>
              <w:autoSpaceDE w:val="0"/>
              <w:autoSpaceDN w:val="0"/>
              <w:adjustRightInd/>
              <w:snapToGrid/>
              <w:spacing w:line="276" w:lineRule="auto"/>
              <w:ind w:firstLine="0" w:firstLineChars="0"/>
              <w:jc w:val="both"/>
              <w:rPr>
                <w:rFonts w:hint="default"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44</w:t>
            </w:r>
          </w:p>
        </w:tc>
        <w:tc>
          <w:tcPr>
            <w:tcW w:w="2769" w:type="dxa"/>
          </w:tcPr>
          <w:p w14:paraId="7F6929E3">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86.27</w:t>
            </w:r>
            <w:r>
              <w:rPr>
                <w:rFonts w:ascii="Calibri" w:hAnsi="Calibri" w:eastAsia="宋体" w:cs="Times New Roman"/>
                <w:color w:val="3F3F3F"/>
                <w:sz w:val="21"/>
                <w:szCs w:val="22"/>
              </w:rPr>
              <w:t>%</w:t>
            </w:r>
          </w:p>
        </w:tc>
      </w:tr>
      <w:tr w14:paraId="5077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16AC1858">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14:paraId="5855E180">
            <w:pPr>
              <w:widowControl/>
              <w:autoSpaceDE w:val="0"/>
              <w:autoSpaceDN w:val="0"/>
              <w:adjustRightInd/>
              <w:snapToGrid/>
              <w:spacing w:line="276" w:lineRule="auto"/>
              <w:ind w:firstLine="0" w:firstLineChars="0"/>
              <w:jc w:val="both"/>
              <w:rPr>
                <w:rFonts w:hint="eastAsia"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7</w:t>
            </w:r>
          </w:p>
        </w:tc>
        <w:tc>
          <w:tcPr>
            <w:tcW w:w="2769" w:type="dxa"/>
          </w:tcPr>
          <w:p w14:paraId="5491DCF7">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13.73</w:t>
            </w:r>
            <w:r>
              <w:rPr>
                <w:rFonts w:ascii="Calibri" w:hAnsi="Calibri" w:eastAsia="宋体" w:cs="Times New Roman"/>
                <w:color w:val="3F3F3F"/>
                <w:sz w:val="21"/>
                <w:szCs w:val="22"/>
              </w:rPr>
              <w:t>%</w:t>
            </w:r>
          </w:p>
        </w:tc>
      </w:tr>
      <w:tr w14:paraId="6783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3B15E901">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14:paraId="640815B2">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14:paraId="28621F1F">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14:paraId="4901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6E380891">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14:paraId="534B45F2">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14:paraId="784C2010">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14:paraId="0701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14:paraId="33337D69">
            <w:pPr>
              <w:widowControl/>
              <w:autoSpaceDE w:val="0"/>
              <w:autoSpaceDN w:val="0"/>
              <w:adjustRightInd/>
              <w:snapToGrid/>
              <w:spacing w:line="276" w:lineRule="auto"/>
              <w:ind w:firstLine="0" w:firstLineChars="0"/>
              <w:jc w:val="left"/>
              <w:rPr>
                <w:rFonts w:hint="default" w:ascii="Calibri" w:hAnsi="Calibri" w:eastAsia="宋体" w:cs="Times New Roman"/>
                <w:color w:val="3F3F3F"/>
                <w:sz w:val="21"/>
                <w:szCs w:val="22"/>
                <w:lang w:val="en-US" w:eastAsia="zh-CN"/>
              </w:rPr>
            </w:pPr>
            <w:r>
              <w:rPr>
                <w:rFonts w:ascii="Calibri" w:hAnsi="Calibri" w:eastAsia="宋体" w:cs="Times New Roman"/>
                <w:color w:val="3F3F3F"/>
                <w:sz w:val="21"/>
                <w:szCs w:val="22"/>
              </w:rPr>
              <w:t>回答人数</w:t>
            </w:r>
            <w:r>
              <w:rPr>
                <w:rFonts w:hint="eastAsia" w:ascii="Calibri" w:hAnsi="Calibri" w:eastAsia="宋体" w:cs="Times New Roman"/>
                <w:color w:val="3F3F3F"/>
                <w:sz w:val="21"/>
                <w:szCs w:val="22"/>
                <w:lang w:val="en-US" w:eastAsia="zh-CN"/>
              </w:rPr>
              <w:t>51</w:t>
            </w:r>
          </w:p>
        </w:tc>
      </w:tr>
    </w:tbl>
    <w:p w14:paraId="2C0E6CD1">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p>
    <w:p w14:paraId="18434535">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ascii="微软雅黑" w:hAnsi="微软雅黑" w:eastAsia="微软雅黑" w:cs="Times New Roman"/>
          <w:kern w:val="2"/>
          <w:sz w:val="18"/>
          <w:szCs w:val="22"/>
          <w:lang w:val="en-US" w:eastAsia="zh-CN" w:bidi="ar-SA"/>
        </w:rPr>
        <w:t>Q10.</w:t>
      </w:r>
      <w:r>
        <w:rPr>
          <w:rFonts w:hint="eastAsia" w:ascii="微软雅黑" w:hAnsi="微软雅黑" w:eastAsia="微软雅黑" w:cs="Times New Roman"/>
          <w:kern w:val="2"/>
          <w:sz w:val="18"/>
          <w:szCs w:val="22"/>
          <w:lang w:val="en-US" w:eastAsia="zh-CN" w:bidi="ar-SA"/>
        </w:rPr>
        <w:t>.您对我院工作人员服务态度是否满意</w:t>
      </w:r>
      <w:r>
        <w:rPr>
          <w:rFonts w:ascii="微软雅黑" w:hAnsi="微软雅黑" w:eastAsia="微软雅黑" w:cs="Times New Roman"/>
          <w:kern w:val="2"/>
          <w:sz w:val="18"/>
          <w:szCs w:val="22"/>
          <w:lang w:val="en-US" w:eastAsia="zh-CN" w:bidi="ar-SA"/>
        </w:rPr>
        <w:t>：</w:t>
      </w:r>
    </w:p>
    <w:p w14:paraId="5C0D1751">
      <w:pPr>
        <w:autoSpaceDE w:val="0"/>
        <w:autoSpaceDN w:val="0"/>
        <w:adjustRightInd/>
        <w:snapToGrid/>
        <w:spacing w:after="60" w:line="276" w:lineRule="auto"/>
        <w:ind w:firstLine="0" w:firstLineChars="0"/>
        <w:rPr>
          <w:rFonts w:ascii="微软雅黑" w:hAnsi="微软雅黑" w:eastAsia="微软雅黑" w:cs="Times New Roman"/>
          <w:kern w:val="2"/>
          <w:sz w:val="18"/>
          <w:szCs w:val="22"/>
          <w:lang w:val="en-US" w:eastAsia="zh-CN" w:bidi="ar-SA"/>
        </w:rPr>
      </w:pPr>
      <w:r>
        <w:rPr>
          <w:rFonts w:hint="eastAsia"/>
          <w:lang w:val="en-US" w:eastAsia="zh-CN"/>
        </w:rPr>
        <w:t xml:space="preserve">     </w:t>
      </w:r>
      <w:r>
        <w:drawing>
          <wp:inline distT="0" distB="0" distL="114300" distR="114300">
            <wp:extent cx="4321175" cy="1849120"/>
            <wp:effectExtent l="4445" t="4445" r="17780" b="1333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69"/>
      </w:tblGrid>
      <w:tr w14:paraId="4FD9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104E8D84">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选项</w:t>
            </w:r>
          </w:p>
        </w:tc>
        <w:tc>
          <w:tcPr>
            <w:tcW w:w="2769" w:type="dxa"/>
          </w:tcPr>
          <w:p w14:paraId="24CA8458">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选择次数</w:t>
            </w:r>
          </w:p>
        </w:tc>
        <w:tc>
          <w:tcPr>
            <w:tcW w:w="2769" w:type="dxa"/>
          </w:tcPr>
          <w:p w14:paraId="1891478E">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highlight w:val="none"/>
              </w:rPr>
              <w:t>百分比</w:t>
            </w:r>
          </w:p>
        </w:tc>
      </w:tr>
      <w:tr w14:paraId="20CD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5B739A02">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非常满意</w:t>
            </w:r>
          </w:p>
        </w:tc>
        <w:tc>
          <w:tcPr>
            <w:tcW w:w="2769" w:type="dxa"/>
          </w:tcPr>
          <w:p w14:paraId="2D7C5B23">
            <w:pPr>
              <w:widowControl/>
              <w:autoSpaceDE w:val="0"/>
              <w:autoSpaceDN w:val="0"/>
              <w:adjustRightInd/>
              <w:snapToGrid/>
              <w:spacing w:line="276" w:lineRule="auto"/>
              <w:ind w:firstLine="0" w:firstLineChars="0"/>
              <w:jc w:val="both"/>
              <w:rPr>
                <w:rFonts w:hint="default"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47</w:t>
            </w:r>
          </w:p>
        </w:tc>
        <w:tc>
          <w:tcPr>
            <w:tcW w:w="2769" w:type="dxa"/>
          </w:tcPr>
          <w:p w14:paraId="500BA97C">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92.16</w:t>
            </w:r>
            <w:r>
              <w:rPr>
                <w:rFonts w:ascii="Calibri" w:hAnsi="Calibri" w:eastAsia="宋体" w:cs="Times New Roman"/>
                <w:color w:val="3F3F3F"/>
                <w:sz w:val="21"/>
                <w:szCs w:val="22"/>
              </w:rPr>
              <w:t>%</w:t>
            </w:r>
          </w:p>
        </w:tc>
      </w:tr>
      <w:tr w14:paraId="5609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24C7D027">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满意</w:t>
            </w:r>
          </w:p>
        </w:tc>
        <w:tc>
          <w:tcPr>
            <w:tcW w:w="2769" w:type="dxa"/>
          </w:tcPr>
          <w:p w14:paraId="4B048FCB">
            <w:pPr>
              <w:widowControl/>
              <w:autoSpaceDE w:val="0"/>
              <w:autoSpaceDN w:val="0"/>
              <w:adjustRightInd/>
              <w:snapToGrid/>
              <w:spacing w:line="276" w:lineRule="auto"/>
              <w:ind w:firstLine="0" w:firstLineChars="0"/>
              <w:jc w:val="both"/>
              <w:rPr>
                <w:rFonts w:hint="default" w:ascii="Calibri" w:hAnsi="Calibri" w:eastAsia="宋体" w:cs="Times New Roman"/>
                <w:color w:val="3F3F3F"/>
                <w:sz w:val="21"/>
                <w:szCs w:val="22"/>
                <w:lang w:val="en-US" w:eastAsia="zh-CN"/>
              </w:rPr>
            </w:pPr>
            <w:r>
              <w:rPr>
                <w:rFonts w:hint="eastAsia" w:ascii="Calibri" w:hAnsi="Calibri" w:eastAsia="宋体" w:cs="Times New Roman"/>
                <w:color w:val="3F3F3F"/>
                <w:sz w:val="21"/>
                <w:szCs w:val="22"/>
                <w:lang w:val="en-US" w:eastAsia="zh-CN"/>
              </w:rPr>
              <w:t>4</w:t>
            </w:r>
          </w:p>
        </w:tc>
        <w:tc>
          <w:tcPr>
            <w:tcW w:w="2769" w:type="dxa"/>
          </w:tcPr>
          <w:p w14:paraId="3BEC4958">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hint="eastAsia" w:ascii="Calibri" w:hAnsi="Calibri" w:eastAsia="宋体" w:cs="Times New Roman"/>
                <w:color w:val="3F3F3F"/>
                <w:sz w:val="21"/>
                <w:szCs w:val="22"/>
                <w:lang w:val="en-US" w:eastAsia="zh-CN"/>
              </w:rPr>
              <w:t>7.84</w:t>
            </w:r>
            <w:r>
              <w:rPr>
                <w:rFonts w:ascii="Calibri" w:hAnsi="Calibri" w:eastAsia="宋体" w:cs="Times New Roman"/>
                <w:color w:val="3F3F3F"/>
                <w:sz w:val="21"/>
                <w:szCs w:val="22"/>
              </w:rPr>
              <w:t>%</w:t>
            </w:r>
          </w:p>
        </w:tc>
      </w:tr>
      <w:tr w14:paraId="68A1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76C3EA31">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一般</w:t>
            </w:r>
          </w:p>
        </w:tc>
        <w:tc>
          <w:tcPr>
            <w:tcW w:w="2769" w:type="dxa"/>
          </w:tcPr>
          <w:p w14:paraId="17269830">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14:paraId="1973B3D3">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14:paraId="4F31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1AE18D63">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不满意</w:t>
            </w:r>
          </w:p>
        </w:tc>
        <w:tc>
          <w:tcPr>
            <w:tcW w:w="2769" w:type="dxa"/>
          </w:tcPr>
          <w:p w14:paraId="3BFC53B8">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w:t>
            </w:r>
          </w:p>
        </w:tc>
        <w:tc>
          <w:tcPr>
            <w:tcW w:w="2769" w:type="dxa"/>
          </w:tcPr>
          <w:p w14:paraId="561E5418">
            <w:pPr>
              <w:widowControl/>
              <w:autoSpaceDE w:val="0"/>
              <w:autoSpaceDN w:val="0"/>
              <w:adjustRightInd/>
              <w:snapToGrid/>
              <w:spacing w:line="276" w:lineRule="auto"/>
              <w:ind w:firstLine="0" w:firstLineChars="0"/>
              <w:jc w:val="both"/>
              <w:rPr>
                <w:rFonts w:ascii="Calibri" w:hAnsi="Calibri" w:eastAsia="宋体" w:cs="Times New Roman"/>
                <w:color w:val="3F3F3F"/>
                <w:sz w:val="21"/>
                <w:szCs w:val="22"/>
              </w:rPr>
            </w:pPr>
            <w:r>
              <w:rPr>
                <w:rFonts w:ascii="Calibri" w:hAnsi="Calibri" w:eastAsia="宋体" w:cs="Times New Roman"/>
                <w:color w:val="3F3F3F"/>
                <w:sz w:val="21"/>
                <w:szCs w:val="22"/>
              </w:rPr>
              <w:t>0.00%</w:t>
            </w:r>
          </w:p>
        </w:tc>
      </w:tr>
      <w:tr w14:paraId="0FC8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3"/>
          </w:tcPr>
          <w:p w14:paraId="1D4C9C7D">
            <w:pPr>
              <w:widowControl/>
              <w:autoSpaceDE w:val="0"/>
              <w:autoSpaceDN w:val="0"/>
              <w:adjustRightInd/>
              <w:snapToGrid/>
              <w:spacing w:line="276" w:lineRule="auto"/>
              <w:ind w:firstLine="0" w:firstLineChars="0"/>
              <w:jc w:val="left"/>
              <w:rPr>
                <w:rFonts w:hint="default" w:ascii="Calibri" w:hAnsi="Calibri" w:eastAsia="宋体" w:cs="Times New Roman"/>
                <w:color w:val="3F3F3F"/>
                <w:sz w:val="21"/>
                <w:szCs w:val="22"/>
                <w:lang w:val="en-US" w:eastAsia="zh-CN"/>
              </w:rPr>
            </w:pPr>
            <w:r>
              <w:rPr>
                <w:rFonts w:ascii="Calibri" w:hAnsi="Calibri" w:eastAsia="宋体" w:cs="Times New Roman"/>
                <w:color w:val="3F3F3F"/>
                <w:sz w:val="21"/>
                <w:szCs w:val="22"/>
              </w:rPr>
              <w:t>回答人数</w:t>
            </w:r>
            <w:r>
              <w:rPr>
                <w:rFonts w:hint="eastAsia" w:ascii="Calibri" w:hAnsi="Calibri" w:eastAsia="宋体" w:cs="Times New Roman"/>
                <w:color w:val="3F3F3F"/>
                <w:sz w:val="21"/>
                <w:szCs w:val="22"/>
                <w:lang w:val="en-US" w:eastAsia="zh-CN"/>
              </w:rPr>
              <w:t>51</w:t>
            </w:r>
          </w:p>
        </w:tc>
      </w:tr>
    </w:tbl>
    <w:p w14:paraId="6D19704A">
      <w:pPr>
        <w:pStyle w:val="13"/>
        <w:ind w:left="0" w:leftChars="0" w:firstLine="0" w:firstLineChars="0"/>
      </w:pPr>
    </w:p>
    <w:sectPr>
      <w:pgSz w:w="11906" w:h="16838"/>
      <w:pgMar w:top="1440" w:right="1587" w:bottom="1440" w:left="1587" w:header="822" w:footer="992" w:gutter="0"/>
      <w:pgBorders>
        <w:top w:val="none" w:sz="0" w:space="0"/>
        <w:left w:val="none" w:sz="0" w:space="0"/>
        <w:bottom w:val="none" w:sz="0" w:space="0"/>
        <w:right w:val="none" w:sz="0" w:space="0"/>
      </w:pgBorders>
      <w:cols w:space="0" w:num="1"/>
      <w:docGrid w:type="lines" w:linePitch="41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8784539"/>
    </w:sdtPr>
    <w:sdtContent>
      <w:p w14:paraId="1935A105">
        <w:pPr>
          <w:pStyle w:val="15"/>
          <w:jc w:val="center"/>
        </w:pPr>
        <w:r>
          <w:fldChar w:fldCharType="begin"/>
        </w:r>
        <w:r>
          <w:instrText xml:space="preserve">PAGE   \* MERGEFORMAT</w:instrText>
        </w:r>
        <w:r>
          <w:fldChar w:fldCharType="separate"/>
        </w:r>
        <w:r>
          <w:rPr>
            <w:lang w:val="zh-CN"/>
          </w:rPr>
          <w:t>2</w:t>
        </w:r>
        <w:r>
          <w:fldChar w:fldCharType="end"/>
        </w:r>
      </w:p>
    </w:sdtContent>
  </w:sdt>
  <w:p w14:paraId="05E4F8A9">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26666">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D9EFA">
                          <w:pPr>
                            <w:pStyle w:val="15"/>
                            <w:rPr>
                              <w:rFonts w:eastAsia="仿宋_GB2312"/>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FD9EFA">
                    <w:pPr>
                      <w:pStyle w:val="15"/>
                      <w:rPr>
                        <w:rFonts w:eastAsia="仿宋_GB2312"/>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2626360</wp:posOffset>
              </wp:positionH>
              <wp:positionV relativeFrom="paragraph">
                <wp:posOffset>31750</wp:posOffset>
              </wp:positionV>
              <wp:extent cx="233045" cy="1663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3304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ADA78">
                          <w:pPr>
                            <w:ind w:firstLine="0" w:firstLineChars="0"/>
                            <w:rPr>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8pt;margin-top:2.5pt;height:13.1pt;width:18.35pt;mso-position-horizontal-relative:margin;z-index:251660288;mso-width-relative:page;mso-height-relative:page;" filled="f" stroked="f" coordsize="21600,21600" o:gfxdata="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1EKt1wAAAAgBAAAPAAAAAAAAAAEAIAAAACIAAABkcnMvZG93bnJldi54bWxQ&#10;SwECFAAUAAAACACHTuJAkMvStTECAABVBAAADgAAAAAAAAABACAAAAAmAQAAZHJzL2Uyb0RvYy54&#10;bWxQSwUGAAAAAAYABgBZAQAAyQUAAAAA&#10;">
              <v:fill on="f" focussize="0,0"/>
              <v:stroke on="f" weight="0.5pt"/>
              <v:imagedata o:title=""/>
              <o:lock v:ext="edit" aspectratio="f"/>
              <v:textbox inset="0mm,0mm,0mm,0mm">
                <w:txbxContent>
                  <w:p w14:paraId="0F5ADA78">
                    <w:pPr>
                      <w:ind w:firstLine="0" w:firstLineChars="0"/>
                      <w:rPr>
                        <w:sz w:val="28"/>
                        <w:szCs w:val="2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19430" cy="1676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19430" cy="167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AF6F3">
                          <w:pPr>
                            <w:pStyle w:val="15"/>
                            <w:rPr>
                              <w:rFonts w:eastAsia="仿宋_GB231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2pt;width:40.9pt;mso-position-horizontal:center;mso-position-horizontal-relative:margin;z-index:251659264;mso-width-relative:page;mso-height-relative:page;" filled="f" stroked="f" coordsize="21600,21600" o:gfxdata="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bwp73TAAAAAwEAAA8AAAAAAAAAAQAgAAAAIgAAAGRycy9kb3ducmV2LnhtbFBLAQIU&#10;ABQAAAAIAIdO4kA6lYFYMQIAAFUEAAAOAAAAAAAAAAEAIAAAACIBAABkcnMvZTJvRG9jLnhtbFBL&#10;BQYAAAAABgAGAFkBAADFBQAAAAA=&#10;">
              <v:fill on="f" focussize="0,0"/>
              <v:stroke on="f" weight="0.5pt"/>
              <v:imagedata o:title=""/>
              <o:lock v:ext="edit" aspectratio="f"/>
              <v:textbox inset="0mm,0mm,0mm,0mm">
                <w:txbxContent>
                  <w:p w14:paraId="647AF6F3">
                    <w:pPr>
                      <w:pStyle w:val="15"/>
                      <w:rPr>
                        <w:rFonts w:eastAsia="仿宋_GB231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5E48F">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7F35">
    <w:pPr>
      <w:pStyle w:val="16"/>
    </w:pPr>
    <w:r>
      <w:rPr>
        <w:rFonts w:hint="eastAsia" w:ascii="仿宋_GB2312" w:hAnsi="仿宋_GB2312" w:eastAsia="仿宋_GB2312" w:cs="仿宋_GB2312"/>
        <w:bCs/>
        <w:lang w:val="en-US" w:eastAsia="zh-CN"/>
      </w:rPr>
      <w:t>办案（业务）经费</w:t>
    </w:r>
    <w:r>
      <w:rPr>
        <w:rFonts w:hint="eastAsia" w:ascii="仿宋_GB2312" w:hAnsi="仿宋_GB2312" w:eastAsia="仿宋_GB2312" w:cs="仿宋_GB2312"/>
        <w:bCs/>
      </w:rPr>
      <w:t>项目</w:t>
    </w:r>
    <w:r>
      <w:rPr>
        <w:rFonts w:hint="eastAsia" w:ascii="仿宋_GB2312" w:hAnsi="仿宋_GB2312" w:eastAsia="仿宋_GB2312" w:cs="仿宋_GB2312"/>
      </w:rPr>
      <w:t>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64650">
    <w:pPr>
      <w:pStyle w:val="16"/>
      <w:rPr>
        <w:rFonts w:ascii="仿宋_GB2312" w:hAnsi="仿宋_GB2312" w:eastAsia="仿宋_GB2312" w:cs="仿宋_GB2312"/>
      </w:rPr>
    </w:pPr>
    <w:r>
      <w:rPr>
        <w:rFonts w:hint="eastAsia" w:ascii="仿宋_GB2312" w:hAnsi="仿宋_GB2312" w:eastAsia="仿宋_GB2312" w:cs="仿宋_GB2312"/>
        <w:bCs/>
        <w:lang w:eastAsia="zh-CN"/>
      </w:rPr>
      <w:t>办案（业务）经费</w:t>
    </w:r>
    <w:r>
      <w:rPr>
        <w:rFonts w:hint="eastAsia" w:ascii="仿宋_GB2312" w:hAnsi="仿宋_GB2312" w:eastAsia="仿宋_GB2312" w:cs="仿宋_GB2312"/>
        <w:bCs/>
      </w:rPr>
      <w:t>项目</w:t>
    </w:r>
    <w:r>
      <w:rPr>
        <w:rFonts w:hint="eastAsia" w:ascii="仿宋_GB2312" w:hAnsi="仿宋_GB2312" w:eastAsia="仿宋_GB2312" w:cs="仿宋_GB2312"/>
      </w:rPr>
      <w:t>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8EFEA"/>
    <w:multiLevelType w:val="singleLevel"/>
    <w:tmpl w:val="1408EFE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50"/>
  <w:drawingGridVerticalSpacing w:val="20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172A27"/>
    <w:rsid w:val="000007AC"/>
    <w:rsid w:val="000008E2"/>
    <w:rsid w:val="00001FCF"/>
    <w:rsid w:val="00002715"/>
    <w:rsid w:val="00003452"/>
    <w:rsid w:val="00003D23"/>
    <w:rsid w:val="00004C01"/>
    <w:rsid w:val="00004C46"/>
    <w:rsid w:val="00004D92"/>
    <w:rsid w:val="000059CA"/>
    <w:rsid w:val="00006673"/>
    <w:rsid w:val="00006CA2"/>
    <w:rsid w:val="00010181"/>
    <w:rsid w:val="000103E2"/>
    <w:rsid w:val="00011279"/>
    <w:rsid w:val="00013355"/>
    <w:rsid w:val="0001345F"/>
    <w:rsid w:val="00013616"/>
    <w:rsid w:val="00013E13"/>
    <w:rsid w:val="00013FAA"/>
    <w:rsid w:val="00014441"/>
    <w:rsid w:val="000146C1"/>
    <w:rsid w:val="00015063"/>
    <w:rsid w:val="0001644F"/>
    <w:rsid w:val="0001673E"/>
    <w:rsid w:val="00016891"/>
    <w:rsid w:val="00016B7A"/>
    <w:rsid w:val="000173A0"/>
    <w:rsid w:val="00017BEF"/>
    <w:rsid w:val="000207E8"/>
    <w:rsid w:val="00020926"/>
    <w:rsid w:val="00020C66"/>
    <w:rsid w:val="000210AF"/>
    <w:rsid w:val="00021161"/>
    <w:rsid w:val="0002152F"/>
    <w:rsid w:val="00021AA5"/>
    <w:rsid w:val="000220C8"/>
    <w:rsid w:val="00022C1E"/>
    <w:rsid w:val="00023A2E"/>
    <w:rsid w:val="00024CDD"/>
    <w:rsid w:val="00024EBF"/>
    <w:rsid w:val="000309E0"/>
    <w:rsid w:val="00030F55"/>
    <w:rsid w:val="00031E97"/>
    <w:rsid w:val="00032FCB"/>
    <w:rsid w:val="0003300D"/>
    <w:rsid w:val="00033129"/>
    <w:rsid w:val="00033E9C"/>
    <w:rsid w:val="000342AA"/>
    <w:rsid w:val="00034D1C"/>
    <w:rsid w:val="00035BD5"/>
    <w:rsid w:val="00035C54"/>
    <w:rsid w:val="00035E3F"/>
    <w:rsid w:val="00036219"/>
    <w:rsid w:val="000367B8"/>
    <w:rsid w:val="000377FC"/>
    <w:rsid w:val="00037BFB"/>
    <w:rsid w:val="00040196"/>
    <w:rsid w:val="000403C1"/>
    <w:rsid w:val="0004095F"/>
    <w:rsid w:val="00040970"/>
    <w:rsid w:val="0004105D"/>
    <w:rsid w:val="00041462"/>
    <w:rsid w:val="00041C78"/>
    <w:rsid w:val="0004294A"/>
    <w:rsid w:val="00042E2F"/>
    <w:rsid w:val="00043408"/>
    <w:rsid w:val="000438BA"/>
    <w:rsid w:val="00044511"/>
    <w:rsid w:val="00044B66"/>
    <w:rsid w:val="0004546C"/>
    <w:rsid w:val="00045E22"/>
    <w:rsid w:val="000461CF"/>
    <w:rsid w:val="000479A8"/>
    <w:rsid w:val="000479E4"/>
    <w:rsid w:val="00047AF2"/>
    <w:rsid w:val="00050AAA"/>
    <w:rsid w:val="00051CBB"/>
    <w:rsid w:val="00051EFD"/>
    <w:rsid w:val="000525AC"/>
    <w:rsid w:val="00052873"/>
    <w:rsid w:val="00052C33"/>
    <w:rsid w:val="00053703"/>
    <w:rsid w:val="000537A0"/>
    <w:rsid w:val="000537A1"/>
    <w:rsid w:val="00053926"/>
    <w:rsid w:val="0005474A"/>
    <w:rsid w:val="0005561E"/>
    <w:rsid w:val="00056339"/>
    <w:rsid w:val="0005655D"/>
    <w:rsid w:val="00057D3B"/>
    <w:rsid w:val="00060517"/>
    <w:rsid w:val="00060CC6"/>
    <w:rsid w:val="00061E17"/>
    <w:rsid w:val="000621C9"/>
    <w:rsid w:val="000622A6"/>
    <w:rsid w:val="00062347"/>
    <w:rsid w:val="000626A6"/>
    <w:rsid w:val="00062911"/>
    <w:rsid w:val="00062C92"/>
    <w:rsid w:val="000637A4"/>
    <w:rsid w:val="000644C3"/>
    <w:rsid w:val="00065BEF"/>
    <w:rsid w:val="00071D53"/>
    <w:rsid w:val="00071DA4"/>
    <w:rsid w:val="00072D94"/>
    <w:rsid w:val="00072F39"/>
    <w:rsid w:val="00073ED1"/>
    <w:rsid w:val="00074173"/>
    <w:rsid w:val="00074212"/>
    <w:rsid w:val="0007441E"/>
    <w:rsid w:val="00075056"/>
    <w:rsid w:val="0007540E"/>
    <w:rsid w:val="00077AF9"/>
    <w:rsid w:val="00077B14"/>
    <w:rsid w:val="00080485"/>
    <w:rsid w:val="00080949"/>
    <w:rsid w:val="00080EC8"/>
    <w:rsid w:val="00081A7A"/>
    <w:rsid w:val="00082D7F"/>
    <w:rsid w:val="000834E1"/>
    <w:rsid w:val="000839CF"/>
    <w:rsid w:val="000848F6"/>
    <w:rsid w:val="00084AAF"/>
    <w:rsid w:val="00084B7F"/>
    <w:rsid w:val="0008561F"/>
    <w:rsid w:val="00085841"/>
    <w:rsid w:val="000869D4"/>
    <w:rsid w:val="00086C73"/>
    <w:rsid w:val="000878AC"/>
    <w:rsid w:val="000900B7"/>
    <w:rsid w:val="0009055C"/>
    <w:rsid w:val="000905DB"/>
    <w:rsid w:val="000907B8"/>
    <w:rsid w:val="00091414"/>
    <w:rsid w:val="0009189B"/>
    <w:rsid w:val="00092202"/>
    <w:rsid w:val="000933A4"/>
    <w:rsid w:val="0009381E"/>
    <w:rsid w:val="00093E43"/>
    <w:rsid w:val="00094543"/>
    <w:rsid w:val="000945EF"/>
    <w:rsid w:val="00094997"/>
    <w:rsid w:val="000949F6"/>
    <w:rsid w:val="00094A55"/>
    <w:rsid w:val="00094C4C"/>
    <w:rsid w:val="00095B00"/>
    <w:rsid w:val="000969E5"/>
    <w:rsid w:val="000A0889"/>
    <w:rsid w:val="000A0B09"/>
    <w:rsid w:val="000A11F4"/>
    <w:rsid w:val="000A2443"/>
    <w:rsid w:val="000A3248"/>
    <w:rsid w:val="000A46F7"/>
    <w:rsid w:val="000A4DC0"/>
    <w:rsid w:val="000A4FB2"/>
    <w:rsid w:val="000A61E9"/>
    <w:rsid w:val="000A6B9B"/>
    <w:rsid w:val="000A6C51"/>
    <w:rsid w:val="000A6FF9"/>
    <w:rsid w:val="000A718C"/>
    <w:rsid w:val="000A73E9"/>
    <w:rsid w:val="000A7BC2"/>
    <w:rsid w:val="000A7FC0"/>
    <w:rsid w:val="000B064C"/>
    <w:rsid w:val="000B1133"/>
    <w:rsid w:val="000B28DF"/>
    <w:rsid w:val="000B3117"/>
    <w:rsid w:val="000B42F1"/>
    <w:rsid w:val="000B4712"/>
    <w:rsid w:val="000B5291"/>
    <w:rsid w:val="000B598B"/>
    <w:rsid w:val="000B6DA1"/>
    <w:rsid w:val="000B70D9"/>
    <w:rsid w:val="000B7EC0"/>
    <w:rsid w:val="000C05C0"/>
    <w:rsid w:val="000C0794"/>
    <w:rsid w:val="000C127E"/>
    <w:rsid w:val="000C1AC9"/>
    <w:rsid w:val="000C1B41"/>
    <w:rsid w:val="000C32CB"/>
    <w:rsid w:val="000C344E"/>
    <w:rsid w:val="000C347E"/>
    <w:rsid w:val="000C3C1D"/>
    <w:rsid w:val="000C3CE2"/>
    <w:rsid w:val="000C4806"/>
    <w:rsid w:val="000C4BA8"/>
    <w:rsid w:val="000C5039"/>
    <w:rsid w:val="000C5871"/>
    <w:rsid w:val="000C5AD7"/>
    <w:rsid w:val="000C72C5"/>
    <w:rsid w:val="000C731B"/>
    <w:rsid w:val="000C76C9"/>
    <w:rsid w:val="000C7B97"/>
    <w:rsid w:val="000D049F"/>
    <w:rsid w:val="000D0B5C"/>
    <w:rsid w:val="000D0BA9"/>
    <w:rsid w:val="000D0E8D"/>
    <w:rsid w:val="000D1055"/>
    <w:rsid w:val="000D13FC"/>
    <w:rsid w:val="000D1609"/>
    <w:rsid w:val="000D184B"/>
    <w:rsid w:val="000D1960"/>
    <w:rsid w:val="000D5111"/>
    <w:rsid w:val="000D6048"/>
    <w:rsid w:val="000D7410"/>
    <w:rsid w:val="000D74CC"/>
    <w:rsid w:val="000D78DF"/>
    <w:rsid w:val="000E0884"/>
    <w:rsid w:val="000E0F1C"/>
    <w:rsid w:val="000E1221"/>
    <w:rsid w:val="000E32EC"/>
    <w:rsid w:val="000E4125"/>
    <w:rsid w:val="000E4410"/>
    <w:rsid w:val="000E5015"/>
    <w:rsid w:val="000E735E"/>
    <w:rsid w:val="000E7718"/>
    <w:rsid w:val="000E78D0"/>
    <w:rsid w:val="000E7EF6"/>
    <w:rsid w:val="000F1976"/>
    <w:rsid w:val="000F20C7"/>
    <w:rsid w:val="000F21AF"/>
    <w:rsid w:val="000F2640"/>
    <w:rsid w:val="000F2969"/>
    <w:rsid w:val="000F2BC6"/>
    <w:rsid w:val="000F2F43"/>
    <w:rsid w:val="000F3638"/>
    <w:rsid w:val="000F466F"/>
    <w:rsid w:val="000F4A45"/>
    <w:rsid w:val="000F5287"/>
    <w:rsid w:val="000F5498"/>
    <w:rsid w:val="000F673A"/>
    <w:rsid w:val="000F7BEB"/>
    <w:rsid w:val="000F7C5E"/>
    <w:rsid w:val="001005AE"/>
    <w:rsid w:val="00101C43"/>
    <w:rsid w:val="0010321E"/>
    <w:rsid w:val="0010335E"/>
    <w:rsid w:val="00103569"/>
    <w:rsid w:val="00105026"/>
    <w:rsid w:val="001054B5"/>
    <w:rsid w:val="0010693B"/>
    <w:rsid w:val="00107294"/>
    <w:rsid w:val="001076BF"/>
    <w:rsid w:val="001101BD"/>
    <w:rsid w:val="001106BC"/>
    <w:rsid w:val="00111CF6"/>
    <w:rsid w:val="00111EB9"/>
    <w:rsid w:val="001121F4"/>
    <w:rsid w:val="0011340A"/>
    <w:rsid w:val="001137EA"/>
    <w:rsid w:val="001143B3"/>
    <w:rsid w:val="00114F4C"/>
    <w:rsid w:val="00115297"/>
    <w:rsid w:val="00116034"/>
    <w:rsid w:val="001161AD"/>
    <w:rsid w:val="001200B2"/>
    <w:rsid w:val="0012010B"/>
    <w:rsid w:val="001202F7"/>
    <w:rsid w:val="00120F75"/>
    <w:rsid w:val="00121156"/>
    <w:rsid w:val="0012190A"/>
    <w:rsid w:val="001220A9"/>
    <w:rsid w:val="001226BB"/>
    <w:rsid w:val="00122AAC"/>
    <w:rsid w:val="00122BC5"/>
    <w:rsid w:val="00122C96"/>
    <w:rsid w:val="001236B3"/>
    <w:rsid w:val="001237BB"/>
    <w:rsid w:val="00123862"/>
    <w:rsid w:val="00123885"/>
    <w:rsid w:val="00123F0F"/>
    <w:rsid w:val="001242EA"/>
    <w:rsid w:val="001243EF"/>
    <w:rsid w:val="00124645"/>
    <w:rsid w:val="00124A10"/>
    <w:rsid w:val="00125216"/>
    <w:rsid w:val="0012558C"/>
    <w:rsid w:val="00125752"/>
    <w:rsid w:val="001261C2"/>
    <w:rsid w:val="0012740A"/>
    <w:rsid w:val="00127466"/>
    <w:rsid w:val="00127A00"/>
    <w:rsid w:val="00127ED8"/>
    <w:rsid w:val="00127EEE"/>
    <w:rsid w:val="00127F3D"/>
    <w:rsid w:val="001300F7"/>
    <w:rsid w:val="00130103"/>
    <w:rsid w:val="001301D5"/>
    <w:rsid w:val="001304DB"/>
    <w:rsid w:val="0013120F"/>
    <w:rsid w:val="00131486"/>
    <w:rsid w:val="001345A5"/>
    <w:rsid w:val="001359E6"/>
    <w:rsid w:val="00135A94"/>
    <w:rsid w:val="00136397"/>
    <w:rsid w:val="00136915"/>
    <w:rsid w:val="001378D7"/>
    <w:rsid w:val="00137C8D"/>
    <w:rsid w:val="0014095E"/>
    <w:rsid w:val="00140E65"/>
    <w:rsid w:val="00141654"/>
    <w:rsid w:val="001418D1"/>
    <w:rsid w:val="001428A3"/>
    <w:rsid w:val="00142C63"/>
    <w:rsid w:val="0014315A"/>
    <w:rsid w:val="00143252"/>
    <w:rsid w:val="0014395F"/>
    <w:rsid w:val="001443DF"/>
    <w:rsid w:val="001449ED"/>
    <w:rsid w:val="0014521A"/>
    <w:rsid w:val="00146483"/>
    <w:rsid w:val="00146C6A"/>
    <w:rsid w:val="001470A1"/>
    <w:rsid w:val="001478CB"/>
    <w:rsid w:val="001514DE"/>
    <w:rsid w:val="00152AEF"/>
    <w:rsid w:val="0015333C"/>
    <w:rsid w:val="00153EF0"/>
    <w:rsid w:val="00154A44"/>
    <w:rsid w:val="00156D28"/>
    <w:rsid w:val="00157C49"/>
    <w:rsid w:val="001602AF"/>
    <w:rsid w:val="0016044D"/>
    <w:rsid w:val="001605CE"/>
    <w:rsid w:val="00160EE5"/>
    <w:rsid w:val="0016143A"/>
    <w:rsid w:val="00162886"/>
    <w:rsid w:val="00162CA7"/>
    <w:rsid w:val="00162DFE"/>
    <w:rsid w:val="001631A8"/>
    <w:rsid w:val="00163418"/>
    <w:rsid w:val="001639A5"/>
    <w:rsid w:val="00163D8E"/>
    <w:rsid w:val="001647F6"/>
    <w:rsid w:val="001653B3"/>
    <w:rsid w:val="00165475"/>
    <w:rsid w:val="001655C4"/>
    <w:rsid w:val="00165610"/>
    <w:rsid w:val="0016562D"/>
    <w:rsid w:val="00165FE4"/>
    <w:rsid w:val="001661C1"/>
    <w:rsid w:val="001666D9"/>
    <w:rsid w:val="00167BC3"/>
    <w:rsid w:val="00171268"/>
    <w:rsid w:val="00171910"/>
    <w:rsid w:val="001729D7"/>
    <w:rsid w:val="00172A27"/>
    <w:rsid w:val="00172FED"/>
    <w:rsid w:val="001739C3"/>
    <w:rsid w:val="00173FD5"/>
    <w:rsid w:val="001742AE"/>
    <w:rsid w:val="0017452A"/>
    <w:rsid w:val="00174B5A"/>
    <w:rsid w:val="00176111"/>
    <w:rsid w:val="00177B48"/>
    <w:rsid w:val="001806E8"/>
    <w:rsid w:val="00181E12"/>
    <w:rsid w:val="0018228A"/>
    <w:rsid w:val="00182809"/>
    <w:rsid w:val="001833A6"/>
    <w:rsid w:val="00183615"/>
    <w:rsid w:val="0018395B"/>
    <w:rsid w:val="00183BBE"/>
    <w:rsid w:val="00183D8A"/>
    <w:rsid w:val="00183DC1"/>
    <w:rsid w:val="001849A7"/>
    <w:rsid w:val="00185932"/>
    <w:rsid w:val="00185B69"/>
    <w:rsid w:val="00185E40"/>
    <w:rsid w:val="00186A1C"/>
    <w:rsid w:val="0018737D"/>
    <w:rsid w:val="00190449"/>
    <w:rsid w:val="0019165E"/>
    <w:rsid w:val="00192010"/>
    <w:rsid w:val="0019343B"/>
    <w:rsid w:val="00193CDF"/>
    <w:rsid w:val="00193F43"/>
    <w:rsid w:val="00194079"/>
    <w:rsid w:val="0019459D"/>
    <w:rsid w:val="0019565B"/>
    <w:rsid w:val="00196883"/>
    <w:rsid w:val="00197B7C"/>
    <w:rsid w:val="001A0315"/>
    <w:rsid w:val="001A03C5"/>
    <w:rsid w:val="001A09E1"/>
    <w:rsid w:val="001A0AA3"/>
    <w:rsid w:val="001A0BE8"/>
    <w:rsid w:val="001A163F"/>
    <w:rsid w:val="001A1779"/>
    <w:rsid w:val="001A1B68"/>
    <w:rsid w:val="001A2092"/>
    <w:rsid w:val="001A23A2"/>
    <w:rsid w:val="001A2502"/>
    <w:rsid w:val="001A3587"/>
    <w:rsid w:val="001A39F2"/>
    <w:rsid w:val="001A3A94"/>
    <w:rsid w:val="001A406F"/>
    <w:rsid w:val="001A4AE6"/>
    <w:rsid w:val="001A546C"/>
    <w:rsid w:val="001A5F44"/>
    <w:rsid w:val="001A619C"/>
    <w:rsid w:val="001A62FB"/>
    <w:rsid w:val="001A6E47"/>
    <w:rsid w:val="001A6FF3"/>
    <w:rsid w:val="001A7560"/>
    <w:rsid w:val="001A75F5"/>
    <w:rsid w:val="001A7695"/>
    <w:rsid w:val="001A7A81"/>
    <w:rsid w:val="001A7C44"/>
    <w:rsid w:val="001A7C58"/>
    <w:rsid w:val="001B0106"/>
    <w:rsid w:val="001B0161"/>
    <w:rsid w:val="001B07F1"/>
    <w:rsid w:val="001B178A"/>
    <w:rsid w:val="001B29BC"/>
    <w:rsid w:val="001B3393"/>
    <w:rsid w:val="001B3AF1"/>
    <w:rsid w:val="001B40AB"/>
    <w:rsid w:val="001B5D77"/>
    <w:rsid w:val="001B62DA"/>
    <w:rsid w:val="001B6DE5"/>
    <w:rsid w:val="001B7974"/>
    <w:rsid w:val="001B7F19"/>
    <w:rsid w:val="001C129B"/>
    <w:rsid w:val="001C1371"/>
    <w:rsid w:val="001C239E"/>
    <w:rsid w:val="001C29EA"/>
    <w:rsid w:val="001C2AFC"/>
    <w:rsid w:val="001C3D72"/>
    <w:rsid w:val="001C4960"/>
    <w:rsid w:val="001C4B20"/>
    <w:rsid w:val="001C539D"/>
    <w:rsid w:val="001C5500"/>
    <w:rsid w:val="001C631F"/>
    <w:rsid w:val="001D05C3"/>
    <w:rsid w:val="001D0886"/>
    <w:rsid w:val="001D0B6D"/>
    <w:rsid w:val="001D16A8"/>
    <w:rsid w:val="001D232D"/>
    <w:rsid w:val="001D3715"/>
    <w:rsid w:val="001D3752"/>
    <w:rsid w:val="001D66CA"/>
    <w:rsid w:val="001D70FB"/>
    <w:rsid w:val="001E0C0D"/>
    <w:rsid w:val="001E0F88"/>
    <w:rsid w:val="001E1127"/>
    <w:rsid w:val="001E1902"/>
    <w:rsid w:val="001E1EC4"/>
    <w:rsid w:val="001E274A"/>
    <w:rsid w:val="001E2F25"/>
    <w:rsid w:val="001E4C06"/>
    <w:rsid w:val="001E5562"/>
    <w:rsid w:val="001E5FAE"/>
    <w:rsid w:val="001E6A2E"/>
    <w:rsid w:val="001E6CF6"/>
    <w:rsid w:val="001F0316"/>
    <w:rsid w:val="001F157C"/>
    <w:rsid w:val="001F176A"/>
    <w:rsid w:val="001F1E03"/>
    <w:rsid w:val="001F21DE"/>
    <w:rsid w:val="001F2AC8"/>
    <w:rsid w:val="001F2EB4"/>
    <w:rsid w:val="001F3DE3"/>
    <w:rsid w:val="001F3E6E"/>
    <w:rsid w:val="001F59B2"/>
    <w:rsid w:val="001F632A"/>
    <w:rsid w:val="001F6AF5"/>
    <w:rsid w:val="0020026A"/>
    <w:rsid w:val="0020129D"/>
    <w:rsid w:val="002015E3"/>
    <w:rsid w:val="00202363"/>
    <w:rsid w:val="00202A79"/>
    <w:rsid w:val="00202BB3"/>
    <w:rsid w:val="00203321"/>
    <w:rsid w:val="002037DB"/>
    <w:rsid w:val="00204694"/>
    <w:rsid w:val="00205820"/>
    <w:rsid w:val="00205CFE"/>
    <w:rsid w:val="002064B9"/>
    <w:rsid w:val="00206E3D"/>
    <w:rsid w:val="002103F7"/>
    <w:rsid w:val="00210B7A"/>
    <w:rsid w:val="00211326"/>
    <w:rsid w:val="00211549"/>
    <w:rsid w:val="00214298"/>
    <w:rsid w:val="00214330"/>
    <w:rsid w:val="00214BBA"/>
    <w:rsid w:val="00214F3C"/>
    <w:rsid w:val="002150E9"/>
    <w:rsid w:val="002158B7"/>
    <w:rsid w:val="00216638"/>
    <w:rsid w:val="002166D5"/>
    <w:rsid w:val="002167A8"/>
    <w:rsid w:val="002168CE"/>
    <w:rsid w:val="00216926"/>
    <w:rsid w:val="00220795"/>
    <w:rsid w:val="002207D3"/>
    <w:rsid w:val="00220E1A"/>
    <w:rsid w:val="00221049"/>
    <w:rsid w:val="0022128E"/>
    <w:rsid w:val="00221EBA"/>
    <w:rsid w:val="002228E6"/>
    <w:rsid w:val="002248BF"/>
    <w:rsid w:val="00226021"/>
    <w:rsid w:val="0022640B"/>
    <w:rsid w:val="00226ACE"/>
    <w:rsid w:val="00226BD0"/>
    <w:rsid w:val="002300AB"/>
    <w:rsid w:val="002300C4"/>
    <w:rsid w:val="00230B9A"/>
    <w:rsid w:val="00230C06"/>
    <w:rsid w:val="0023399A"/>
    <w:rsid w:val="00233C62"/>
    <w:rsid w:val="00234769"/>
    <w:rsid w:val="0023535C"/>
    <w:rsid w:val="00235E12"/>
    <w:rsid w:val="00236624"/>
    <w:rsid w:val="002400F1"/>
    <w:rsid w:val="00240D4D"/>
    <w:rsid w:val="00240FB1"/>
    <w:rsid w:val="00241F4F"/>
    <w:rsid w:val="002423A9"/>
    <w:rsid w:val="002434B7"/>
    <w:rsid w:val="00243B65"/>
    <w:rsid w:val="00243C39"/>
    <w:rsid w:val="00243C95"/>
    <w:rsid w:val="00243D81"/>
    <w:rsid w:val="00244507"/>
    <w:rsid w:val="002452A5"/>
    <w:rsid w:val="00245A6E"/>
    <w:rsid w:val="00246930"/>
    <w:rsid w:val="00246E8E"/>
    <w:rsid w:val="002474AA"/>
    <w:rsid w:val="00251E6B"/>
    <w:rsid w:val="002527B2"/>
    <w:rsid w:val="002549AE"/>
    <w:rsid w:val="00255946"/>
    <w:rsid w:val="00255B32"/>
    <w:rsid w:val="00256B42"/>
    <w:rsid w:val="00256C8D"/>
    <w:rsid w:val="00257AC2"/>
    <w:rsid w:val="00260B31"/>
    <w:rsid w:val="0026175A"/>
    <w:rsid w:val="00262288"/>
    <w:rsid w:val="00262494"/>
    <w:rsid w:val="00262AC3"/>
    <w:rsid w:val="00263022"/>
    <w:rsid w:val="00263349"/>
    <w:rsid w:val="00263BC6"/>
    <w:rsid w:val="00263E92"/>
    <w:rsid w:val="00264511"/>
    <w:rsid w:val="00264C24"/>
    <w:rsid w:val="00265568"/>
    <w:rsid w:val="00265DA0"/>
    <w:rsid w:val="00270401"/>
    <w:rsid w:val="00271F02"/>
    <w:rsid w:val="002721CA"/>
    <w:rsid w:val="002723E3"/>
    <w:rsid w:val="00272B24"/>
    <w:rsid w:val="00272D47"/>
    <w:rsid w:val="0027306E"/>
    <w:rsid w:val="0027324E"/>
    <w:rsid w:val="00273B06"/>
    <w:rsid w:val="00273E01"/>
    <w:rsid w:val="002743A3"/>
    <w:rsid w:val="002744A7"/>
    <w:rsid w:val="0027554C"/>
    <w:rsid w:val="002764BF"/>
    <w:rsid w:val="00276BB1"/>
    <w:rsid w:val="00276D23"/>
    <w:rsid w:val="00276FB7"/>
    <w:rsid w:val="00277454"/>
    <w:rsid w:val="0027766A"/>
    <w:rsid w:val="00277969"/>
    <w:rsid w:val="002779C8"/>
    <w:rsid w:val="0028116B"/>
    <w:rsid w:val="0028173C"/>
    <w:rsid w:val="00281A3B"/>
    <w:rsid w:val="00281DFA"/>
    <w:rsid w:val="00282359"/>
    <w:rsid w:val="002846CB"/>
    <w:rsid w:val="00285663"/>
    <w:rsid w:val="0028569D"/>
    <w:rsid w:val="002871A2"/>
    <w:rsid w:val="00287ECC"/>
    <w:rsid w:val="002901D5"/>
    <w:rsid w:val="0029040E"/>
    <w:rsid w:val="00290746"/>
    <w:rsid w:val="0029097D"/>
    <w:rsid w:val="00292532"/>
    <w:rsid w:val="00293E9C"/>
    <w:rsid w:val="0029405E"/>
    <w:rsid w:val="002940F1"/>
    <w:rsid w:val="002954A4"/>
    <w:rsid w:val="002966B9"/>
    <w:rsid w:val="00297B36"/>
    <w:rsid w:val="00297CE1"/>
    <w:rsid w:val="002A0EB6"/>
    <w:rsid w:val="002A1768"/>
    <w:rsid w:val="002A2534"/>
    <w:rsid w:val="002A2796"/>
    <w:rsid w:val="002A33CC"/>
    <w:rsid w:val="002A34CE"/>
    <w:rsid w:val="002A36EA"/>
    <w:rsid w:val="002A41ED"/>
    <w:rsid w:val="002A4410"/>
    <w:rsid w:val="002A597D"/>
    <w:rsid w:val="002A5DD2"/>
    <w:rsid w:val="002A5FAB"/>
    <w:rsid w:val="002A6554"/>
    <w:rsid w:val="002A67B7"/>
    <w:rsid w:val="002B01B9"/>
    <w:rsid w:val="002B05DB"/>
    <w:rsid w:val="002B0BA8"/>
    <w:rsid w:val="002B0BFD"/>
    <w:rsid w:val="002B0F05"/>
    <w:rsid w:val="002B134C"/>
    <w:rsid w:val="002B4C4A"/>
    <w:rsid w:val="002B5EAC"/>
    <w:rsid w:val="002B645C"/>
    <w:rsid w:val="002B64BE"/>
    <w:rsid w:val="002B74E7"/>
    <w:rsid w:val="002B7B58"/>
    <w:rsid w:val="002C0308"/>
    <w:rsid w:val="002C068A"/>
    <w:rsid w:val="002C121C"/>
    <w:rsid w:val="002C14C1"/>
    <w:rsid w:val="002C21AA"/>
    <w:rsid w:val="002C22C8"/>
    <w:rsid w:val="002C304E"/>
    <w:rsid w:val="002C4CD8"/>
    <w:rsid w:val="002C57C0"/>
    <w:rsid w:val="002D084D"/>
    <w:rsid w:val="002D1572"/>
    <w:rsid w:val="002D3D47"/>
    <w:rsid w:val="002D430B"/>
    <w:rsid w:val="002D4960"/>
    <w:rsid w:val="002D6362"/>
    <w:rsid w:val="002D65E0"/>
    <w:rsid w:val="002D7AC0"/>
    <w:rsid w:val="002E04F3"/>
    <w:rsid w:val="002E0557"/>
    <w:rsid w:val="002E12BA"/>
    <w:rsid w:val="002E14B7"/>
    <w:rsid w:val="002E1521"/>
    <w:rsid w:val="002E1DEF"/>
    <w:rsid w:val="002E2210"/>
    <w:rsid w:val="002E2419"/>
    <w:rsid w:val="002E291D"/>
    <w:rsid w:val="002E29B5"/>
    <w:rsid w:val="002E37B4"/>
    <w:rsid w:val="002E3F62"/>
    <w:rsid w:val="002E48A2"/>
    <w:rsid w:val="002E4F7A"/>
    <w:rsid w:val="002E5FF2"/>
    <w:rsid w:val="002E628E"/>
    <w:rsid w:val="002E6AFD"/>
    <w:rsid w:val="002E6BF5"/>
    <w:rsid w:val="002E762F"/>
    <w:rsid w:val="002E7649"/>
    <w:rsid w:val="002F0DA6"/>
    <w:rsid w:val="002F161D"/>
    <w:rsid w:val="002F18CD"/>
    <w:rsid w:val="002F1EA9"/>
    <w:rsid w:val="002F224E"/>
    <w:rsid w:val="002F22B8"/>
    <w:rsid w:val="002F34CA"/>
    <w:rsid w:val="002F3ACC"/>
    <w:rsid w:val="002F587B"/>
    <w:rsid w:val="002F6E66"/>
    <w:rsid w:val="002F7F0C"/>
    <w:rsid w:val="003000B3"/>
    <w:rsid w:val="00300E3D"/>
    <w:rsid w:val="0030101D"/>
    <w:rsid w:val="0030315D"/>
    <w:rsid w:val="00303410"/>
    <w:rsid w:val="00303412"/>
    <w:rsid w:val="00305053"/>
    <w:rsid w:val="00305B43"/>
    <w:rsid w:val="00305F09"/>
    <w:rsid w:val="00306A82"/>
    <w:rsid w:val="00306B50"/>
    <w:rsid w:val="00306FE4"/>
    <w:rsid w:val="003075BD"/>
    <w:rsid w:val="003119C8"/>
    <w:rsid w:val="0031341A"/>
    <w:rsid w:val="00313542"/>
    <w:rsid w:val="003137CF"/>
    <w:rsid w:val="003163E0"/>
    <w:rsid w:val="00317717"/>
    <w:rsid w:val="003208CD"/>
    <w:rsid w:val="0032094A"/>
    <w:rsid w:val="00321379"/>
    <w:rsid w:val="00323C2B"/>
    <w:rsid w:val="003245C0"/>
    <w:rsid w:val="003254D7"/>
    <w:rsid w:val="00325E72"/>
    <w:rsid w:val="00327A9F"/>
    <w:rsid w:val="00327BAF"/>
    <w:rsid w:val="003303CE"/>
    <w:rsid w:val="003306E8"/>
    <w:rsid w:val="00330D39"/>
    <w:rsid w:val="00331E27"/>
    <w:rsid w:val="003331FA"/>
    <w:rsid w:val="00333555"/>
    <w:rsid w:val="00333B88"/>
    <w:rsid w:val="003340CA"/>
    <w:rsid w:val="0033576A"/>
    <w:rsid w:val="00335F6C"/>
    <w:rsid w:val="00336990"/>
    <w:rsid w:val="00336A91"/>
    <w:rsid w:val="00336AA9"/>
    <w:rsid w:val="00336FD0"/>
    <w:rsid w:val="003377C7"/>
    <w:rsid w:val="003377E2"/>
    <w:rsid w:val="00337B58"/>
    <w:rsid w:val="00337E9F"/>
    <w:rsid w:val="0034017B"/>
    <w:rsid w:val="00340B76"/>
    <w:rsid w:val="00340CED"/>
    <w:rsid w:val="00341F9D"/>
    <w:rsid w:val="0034282B"/>
    <w:rsid w:val="003433A9"/>
    <w:rsid w:val="00343447"/>
    <w:rsid w:val="0034346B"/>
    <w:rsid w:val="003443BB"/>
    <w:rsid w:val="00344929"/>
    <w:rsid w:val="00344E89"/>
    <w:rsid w:val="003461DC"/>
    <w:rsid w:val="00346512"/>
    <w:rsid w:val="00346B4E"/>
    <w:rsid w:val="0034798F"/>
    <w:rsid w:val="0035114C"/>
    <w:rsid w:val="00352905"/>
    <w:rsid w:val="00352BFC"/>
    <w:rsid w:val="0035335C"/>
    <w:rsid w:val="003539EC"/>
    <w:rsid w:val="00354C9D"/>
    <w:rsid w:val="00354E33"/>
    <w:rsid w:val="00355455"/>
    <w:rsid w:val="00355F8C"/>
    <w:rsid w:val="00356C51"/>
    <w:rsid w:val="003608F4"/>
    <w:rsid w:val="00360AD7"/>
    <w:rsid w:val="00360E1F"/>
    <w:rsid w:val="00360F58"/>
    <w:rsid w:val="00360FDC"/>
    <w:rsid w:val="003611BA"/>
    <w:rsid w:val="00361745"/>
    <w:rsid w:val="00361ECA"/>
    <w:rsid w:val="003621F4"/>
    <w:rsid w:val="00365161"/>
    <w:rsid w:val="0036668E"/>
    <w:rsid w:val="00367315"/>
    <w:rsid w:val="00367371"/>
    <w:rsid w:val="00370568"/>
    <w:rsid w:val="003714D4"/>
    <w:rsid w:val="003721EB"/>
    <w:rsid w:val="003731C7"/>
    <w:rsid w:val="00373738"/>
    <w:rsid w:val="00373877"/>
    <w:rsid w:val="00373D8A"/>
    <w:rsid w:val="00373E83"/>
    <w:rsid w:val="0037478A"/>
    <w:rsid w:val="003749BB"/>
    <w:rsid w:val="00375BA5"/>
    <w:rsid w:val="003761AE"/>
    <w:rsid w:val="00376CB3"/>
    <w:rsid w:val="00377A77"/>
    <w:rsid w:val="00377C75"/>
    <w:rsid w:val="00377F0E"/>
    <w:rsid w:val="00380756"/>
    <w:rsid w:val="003811F8"/>
    <w:rsid w:val="00381BF2"/>
    <w:rsid w:val="00381C91"/>
    <w:rsid w:val="00381D2E"/>
    <w:rsid w:val="00381D60"/>
    <w:rsid w:val="00383738"/>
    <w:rsid w:val="00383B6B"/>
    <w:rsid w:val="00385C07"/>
    <w:rsid w:val="003861D9"/>
    <w:rsid w:val="00386324"/>
    <w:rsid w:val="00386357"/>
    <w:rsid w:val="0038688C"/>
    <w:rsid w:val="003875C5"/>
    <w:rsid w:val="00391344"/>
    <w:rsid w:val="0039184C"/>
    <w:rsid w:val="00391C57"/>
    <w:rsid w:val="003924FC"/>
    <w:rsid w:val="0039348A"/>
    <w:rsid w:val="003941E7"/>
    <w:rsid w:val="00394360"/>
    <w:rsid w:val="003946C9"/>
    <w:rsid w:val="00394EC8"/>
    <w:rsid w:val="0039511C"/>
    <w:rsid w:val="00395260"/>
    <w:rsid w:val="003952B5"/>
    <w:rsid w:val="0039626A"/>
    <w:rsid w:val="00396A49"/>
    <w:rsid w:val="00397830"/>
    <w:rsid w:val="003A01A7"/>
    <w:rsid w:val="003A0622"/>
    <w:rsid w:val="003A0A12"/>
    <w:rsid w:val="003A0E73"/>
    <w:rsid w:val="003A14CD"/>
    <w:rsid w:val="003A1911"/>
    <w:rsid w:val="003A26A8"/>
    <w:rsid w:val="003A295A"/>
    <w:rsid w:val="003A323A"/>
    <w:rsid w:val="003A3FB6"/>
    <w:rsid w:val="003A464F"/>
    <w:rsid w:val="003A4930"/>
    <w:rsid w:val="003A5923"/>
    <w:rsid w:val="003A6C52"/>
    <w:rsid w:val="003A70C0"/>
    <w:rsid w:val="003A7FE5"/>
    <w:rsid w:val="003B17D6"/>
    <w:rsid w:val="003B1CA5"/>
    <w:rsid w:val="003B264A"/>
    <w:rsid w:val="003B2C2C"/>
    <w:rsid w:val="003B34A3"/>
    <w:rsid w:val="003B44CA"/>
    <w:rsid w:val="003B4EED"/>
    <w:rsid w:val="003B4F23"/>
    <w:rsid w:val="003B5258"/>
    <w:rsid w:val="003B6E48"/>
    <w:rsid w:val="003B7DBD"/>
    <w:rsid w:val="003C0F7C"/>
    <w:rsid w:val="003C1089"/>
    <w:rsid w:val="003C1A7F"/>
    <w:rsid w:val="003C1C7C"/>
    <w:rsid w:val="003C2FED"/>
    <w:rsid w:val="003C312D"/>
    <w:rsid w:val="003C515A"/>
    <w:rsid w:val="003C5356"/>
    <w:rsid w:val="003C6CC7"/>
    <w:rsid w:val="003C7DC3"/>
    <w:rsid w:val="003C7E0C"/>
    <w:rsid w:val="003D0B0E"/>
    <w:rsid w:val="003D22DA"/>
    <w:rsid w:val="003D25BE"/>
    <w:rsid w:val="003D3011"/>
    <w:rsid w:val="003D31F1"/>
    <w:rsid w:val="003D4259"/>
    <w:rsid w:val="003D5020"/>
    <w:rsid w:val="003D5183"/>
    <w:rsid w:val="003D5C1F"/>
    <w:rsid w:val="003D7005"/>
    <w:rsid w:val="003D737B"/>
    <w:rsid w:val="003D746D"/>
    <w:rsid w:val="003E0FC9"/>
    <w:rsid w:val="003E1D8B"/>
    <w:rsid w:val="003E2668"/>
    <w:rsid w:val="003E3E9A"/>
    <w:rsid w:val="003E486D"/>
    <w:rsid w:val="003E5146"/>
    <w:rsid w:val="003E5246"/>
    <w:rsid w:val="003E7460"/>
    <w:rsid w:val="003E75F9"/>
    <w:rsid w:val="003F0222"/>
    <w:rsid w:val="003F0A35"/>
    <w:rsid w:val="003F2991"/>
    <w:rsid w:val="003F3593"/>
    <w:rsid w:val="003F3DFC"/>
    <w:rsid w:val="003F5939"/>
    <w:rsid w:val="003F5AB2"/>
    <w:rsid w:val="003F6246"/>
    <w:rsid w:val="003F64B8"/>
    <w:rsid w:val="003F7177"/>
    <w:rsid w:val="003F744B"/>
    <w:rsid w:val="003F7C07"/>
    <w:rsid w:val="004005EA"/>
    <w:rsid w:val="00400DCA"/>
    <w:rsid w:val="004027B2"/>
    <w:rsid w:val="00402CB8"/>
    <w:rsid w:val="00403352"/>
    <w:rsid w:val="00403EAA"/>
    <w:rsid w:val="00403F64"/>
    <w:rsid w:val="00404FC1"/>
    <w:rsid w:val="004058A6"/>
    <w:rsid w:val="00406711"/>
    <w:rsid w:val="00406C6B"/>
    <w:rsid w:val="00407030"/>
    <w:rsid w:val="00407355"/>
    <w:rsid w:val="00407877"/>
    <w:rsid w:val="00407B8F"/>
    <w:rsid w:val="004102DC"/>
    <w:rsid w:val="00410F5D"/>
    <w:rsid w:val="004125C3"/>
    <w:rsid w:val="00412AAB"/>
    <w:rsid w:val="00412CF1"/>
    <w:rsid w:val="00412EE4"/>
    <w:rsid w:val="004138B1"/>
    <w:rsid w:val="00415A76"/>
    <w:rsid w:val="00416A79"/>
    <w:rsid w:val="00416E99"/>
    <w:rsid w:val="00420C79"/>
    <w:rsid w:val="004218AF"/>
    <w:rsid w:val="00421AD7"/>
    <w:rsid w:val="00421C07"/>
    <w:rsid w:val="0042229A"/>
    <w:rsid w:val="00422F76"/>
    <w:rsid w:val="004231BF"/>
    <w:rsid w:val="004231C2"/>
    <w:rsid w:val="00423699"/>
    <w:rsid w:val="00423FE4"/>
    <w:rsid w:val="0042467F"/>
    <w:rsid w:val="00425570"/>
    <w:rsid w:val="004270FE"/>
    <w:rsid w:val="00431C73"/>
    <w:rsid w:val="00431F03"/>
    <w:rsid w:val="00431F36"/>
    <w:rsid w:val="0043226C"/>
    <w:rsid w:val="00432991"/>
    <w:rsid w:val="004331DE"/>
    <w:rsid w:val="00433577"/>
    <w:rsid w:val="00433716"/>
    <w:rsid w:val="004340E4"/>
    <w:rsid w:val="00434949"/>
    <w:rsid w:val="00434A29"/>
    <w:rsid w:val="0043530E"/>
    <w:rsid w:val="00435CE4"/>
    <w:rsid w:val="00435DB4"/>
    <w:rsid w:val="00436598"/>
    <w:rsid w:val="004369CE"/>
    <w:rsid w:val="00437E91"/>
    <w:rsid w:val="004409C8"/>
    <w:rsid w:val="00440F22"/>
    <w:rsid w:val="004414B7"/>
    <w:rsid w:val="004414C1"/>
    <w:rsid w:val="004420EC"/>
    <w:rsid w:val="00443CAF"/>
    <w:rsid w:val="00445DC2"/>
    <w:rsid w:val="0044610F"/>
    <w:rsid w:val="0044734C"/>
    <w:rsid w:val="00451381"/>
    <w:rsid w:val="004519C8"/>
    <w:rsid w:val="00452172"/>
    <w:rsid w:val="004527B7"/>
    <w:rsid w:val="00454C6C"/>
    <w:rsid w:val="00454EC0"/>
    <w:rsid w:val="00456F81"/>
    <w:rsid w:val="00457C89"/>
    <w:rsid w:val="00460332"/>
    <w:rsid w:val="00460DE0"/>
    <w:rsid w:val="00461518"/>
    <w:rsid w:val="0046152B"/>
    <w:rsid w:val="0046201E"/>
    <w:rsid w:val="004632BC"/>
    <w:rsid w:val="00463593"/>
    <w:rsid w:val="004650CC"/>
    <w:rsid w:val="0046541D"/>
    <w:rsid w:val="00466724"/>
    <w:rsid w:val="00466FF7"/>
    <w:rsid w:val="004706F0"/>
    <w:rsid w:val="00470C63"/>
    <w:rsid w:val="00471D43"/>
    <w:rsid w:val="004726D8"/>
    <w:rsid w:val="00472A42"/>
    <w:rsid w:val="00472E9A"/>
    <w:rsid w:val="00474E4A"/>
    <w:rsid w:val="00474F13"/>
    <w:rsid w:val="004756AF"/>
    <w:rsid w:val="0047684D"/>
    <w:rsid w:val="00477A37"/>
    <w:rsid w:val="00480368"/>
    <w:rsid w:val="00480438"/>
    <w:rsid w:val="00481C70"/>
    <w:rsid w:val="0048250E"/>
    <w:rsid w:val="00483447"/>
    <w:rsid w:val="0048373D"/>
    <w:rsid w:val="0048377C"/>
    <w:rsid w:val="00483DDC"/>
    <w:rsid w:val="00483F46"/>
    <w:rsid w:val="00484BC6"/>
    <w:rsid w:val="004853FF"/>
    <w:rsid w:val="00485918"/>
    <w:rsid w:val="00486504"/>
    <w:rsid w:val="00487F81"/>
    <w:rsid w:val="0049049B"/>
    <w:rsid w:val="00491A9D"/>
    <w:rsid w:val="004925F9"/>
    <w:rsid w:val="00492850"/>
    <w:rsid w:val="004935F2"/>
    <w:rsid w:val="0049387A"/>
    <w:rsid w:val="0049476F"/>
    <w:rsid w:val="00494BF4"/>
    <w:rsid w:val="00496485"/>
    <w:rsid w:val="00496614"/>
    <w:rsid w:val="00497D0F"/>
    <w:rsid w:val="004A0264"/>
    <w:rsid w:val="004A1348"/>
    <w:rsid w:val="004A1910"/>
    <w:rsid w:val="004A1CCD"/>
    <w:rsid w:val="004A1D11"/>
    <w:rsid w:val="004A25B1"/>
    <w:rsid w:val="004A2681"/>
    <w:rsid w:val="004A272B"/>
    <w:rsid w:val="004A2C45"/>
    <w:rsid w:val="004A4D6E"/>
    <w:rsid w:val="004A5FAD"/>
    <w:rsid w:val="004A6DDB"/>
    <w:rsid w:val="004A733E"/>
    <w:rsid w:val="004A7C6A"/>
    <w:rsid w:val="004A7CA8"/>
    <w:rsid w:val="004B2110"/>
    <w:rsid w:val="004B2792"/>
    <w:rsid w:val="004B425E"/>
    <w:rsid w:val="004B4ADC"/>
    <w:rsid w:val="004B4C37"/>
    <w:rsid w:val="004B4CC1"/>
    <w:rsid w:val="004B51FF"/>
    <w:rsid w:val="004B5419"/>
    <w:rsid w:val="004B77B4"/>
    <w:rsid w:val="004C075E"/>
    <w:rsid w:val="004C3310"/>
    <w:rsid w:val="004C380A"/>
    <w:rsid w:val="004C42E0"/>
    <w:rsid w:val="004C4F6C"/>
    <w:rsid w:val="004C50A4"/>
    <w:rsid w:val="004C5706"/>
    <w:rsid w:val="004C5762"/>
    <w:rsid w:val="004C6DDB"/>
    <w:rsid w:val="004C6EA9"/>
    <w:rsid w:val="004C74CD"/>
    <w:rsid w:val="004C76CA"/>
    <w:rsid w:val="004C7AC8"/>
    <w:rsid w:val="004C7E30"/>
    <w:rsid w:val="004C7FEF"/>
    <w:rsid w:val="004D00C3"/>
    <w:rsid w:val="004D1BE4"/>
    <w:rsid w:val="004D2C5A"/>
    <w:rsid w:val="004D3BC1"/>
    <w:rsid w:val="004D4075"/>
    <w:rsid w:val="004D41E9"/>
    <w:rsid w:val="004D49B9"/>
    <w:rsid w:val="004D690B"/>
    <w:rsid w:val="004D6E25"/>
    <w:rsid w:val="004D7475"/>
    <w:rsid w:val="004D7F24"/>
    <w:rsid w:val="004E02A2"/>
    <w:rsid w:val="004E291F"/>
    <w:rsid w:val="004E3086"/>
    <w:rsid w:val="004E314D"/>
    <w:rsid w:val="004E317C"/>
    <w:rsid w:val="004E32B3"/>
    <w:rsid w:val="004E391F"/>
    <w:rsid w:val="004E439E"/>
    <w:rsid w:val="004E4506"/>
    <w:rsid w:val="004E45CE"/>
    <w:rsid w:val="004E4A9D"/>
    <w:rsid w:val="004E4BE0"/>
    <w:rsid w:val="004E6D6F"/>
    <w:rsid w:val="004E78AF"/>
    <w:rsid w:val="004F0112"/>
    <w:rsid w:val="004F0176"/>
    <w:rsid w:val="004F0E13"/>
    <w:rsid w:val="004F1EB7"/>
    <w:rsid w:val="004F2458"/>
    <w:rsid w:val="004F322B"/>
    <w:rsid w:val="004F3386"/>
    <w:rsid w:val="004F34D5"/>
    <w:rsid w:val="004F3AFA"/>
    <w:rsid w:val="004F3C4E"/>
    <w:rsid w:val="004F43D6"/>
    <w:rsid w:val="004F499F"/>
    <w:rsid w:val="004F4BF7"/>
    <w:rsid w:val="004F4C59"/>
    <w:rsid w:val="004F508B"/>
    <w:rsid w:val="004F53E1"/>
    <w:rsid w:val="004F5779"/>
    <w:rsid w:val="004F613A"/>
    <w:rsid w:val="004F66DE"/>
    <w:rsid w:val="004F673A"/>
    <w:rsid w:val="004F728F"/>
    <w:rsid w:val="004F7CAC"/>
    <w:rsid w:val="00500B98"/>
    <w:rsid w:val="0050176A"/>
    <w:rsid w:val="00501D14"/>
    <w:rsid w:val="00501E3F"/>
    <w:rsid w:val="00503568"/>
    <w:rsid w:val="005035B1"/>
    <w:rsid w:val="00503AAB"/>
    <w:rsid w:val="0050558A"/>
    <w:rsid w:val="005074C5"/>
    <w:rsid w:val="0050791C"/>
    <w:rsid w:val="00507FAD"/>
    <w:rsid w:val="00510768"/>
    <w:rsid w:val="005114A0"/>
    <w:rsid w:val="00511E9D"/>
    <w:rsid w:val="005121B8"/>
    <w:rsid w:val="005123B3"/>
    <w:rsid w:val="00512605"/>
    <w:rsid w:val="00512A93"/>
    <w:rsid w:val="00512AD3"/>
    <w:rsid w:val="00513AF2"/>
    <w:rsid w:val="00514461"/>
    <w:rsid w:val="005152E2"/>
    <w:rsid w:val="00515851"/>
    <w:rsid w:val="0051681C"/>
    <w:rsid w:val="0051757B"/>
    <w:rsid w:val="005203AE"/>
    <w:rsid w:val="00520C6E"/>
    <w:rsid w:val="00521184"/>
    <w:rsid w:val="00521304"/>
    <w:rsid w:val="00522267"/>
    <w:rsid w:val="0052233F"/>
    <w:rsid w:val="00522B9F"/>
    <w:rsid w:val="0052379E"/>
    <w:rsid w:val="005238A2"/>
    <w:rsid w:val="00524813"/>
    <w:rsid w:val="00526B33"/>
    <w:rsid w:val="005278D4"/>
    <w:rsid w:val="00527C19"/>
    <w:rsid w:val="0053064E"/>
    <w:rsid w:val="00530B18"/>
    <w:rsid w:val="00530DBF"/>
    <w:rsid w:val="00530E95"/>
    <w:rsid w:val="005310C8"/>
    <w:rsid w:val="005318E6"/>
    <w:rsid w:val="00531ADB"/>
    <w:rsid w:val="0053245F"/>
    <w:rsid w:val="005339D9"/>
    <w:rsid w:val="0053557E"/>
    <w:rsid w:val="005362B6"/>
    <w:rsid w:val="00536A3A"/>
    <w:rsid w:val="00536FED"/>
    <w:rsid w:val="0053752B"/>
    <w:rsid w:val="0053790C"/>
    <w:rsid w:val="00537DC1"/>
    <w:rsid w:val="00540D68"/>
    <w:rsid w:val="005411B3"/>
    <w:rsid w:val="005413B3"/>
    <w:rsid w:val="005414A0"/>
    <w:rsid w:val="005416D2"/>
    <w:rsid w:val="00541D13"/>
    <w:rsid w:val="00541E16"/>
    <w:rsid w:val="005422D3"/>
    <w:rsid w:val="00542356"/>
    <w:rsid w:val="00542536"/>
    <w:rsid w:val="00542B8B"/>
    <w:rsid w:val="00543309"/>
    <w:rsid w:val="00543CFC"/>
    <w:rsid w:val="00543F5E"/>
    <w:rsid w:val="00544567"/>
    <w:rsid w:val="00544C6A"/>
    <w:rsid w:val="00544D4A"/>
    <w:rsid w:val="00545A55"/>
    <w:rsid w:val="00545C2F"/>
    <w:rsid w:val="00546C8D"/>
    <w:rsid w:val="005477AA"/>
    <w:rsid w:val="00547982"/>
    <w:rsid w:val="00547AE3"/>
    <w:rsid w:val="00547C2D"/>
    <w:rsid w:val="00547D53"/>
    <w:rsid w:val="00547FB5"/>
    <w:rsid w:val="00551120"/>
    <w:rsid w:val="00551897"/>
    <w:rsid w:val="00551CBB"/>
    <w:rsid w:val="005528F7"/>
    <w:rsid w:val="00552C3B"/>
    <w:rsid w:val="0055344A"/>
    <w:rsid w:val="00553991"/>
    <w:rsid w:val="00553A2D"/>
    <w:rsid w:val="00554793"/>
    <w:rsid w:val="00554DCE"/>
    <w:rsid w:val="00554F38"/>
    <w:rsid w:val="00555732"/>
    <w:rsid w:val="00556094"/>
    <w:rsid w:val="00556BBD"/>
    <w:rsid w:val="00556D4F"/>
    <w:rsid w:val="00557257"/>
    <w:rsid w:val="005576A5"/>
    <w:rsid w:val="00557950"/>
    <w:rsid w:val="005605E5"/>
    <w:rsid w:val="00560855"/>
    <w:rsid w:val="00561988"/>
    <w:rsid w:val="00561E45"/>
    <w:rsid w:val="00562ADE"/>
    <w:rsid w:val="00562FFA"/>
    <w:rsid w:val="005637BB"/>
    <w:rsid w:val="00563EB3"/>
    <w:rsid w:val="00563F18"/>
    <w:rsid w:val="00564222"/>
    <w:rsid w:val="0056508B"/>
    <w:rsid w:val="00566103"/>
    <w:rsid w:val="0056653E"/>
    <w:rsid w:val="0056697C"/>
    <w:rsid w:val="00566F62"/>
    <w:rsid w:val="005677D8"/>
    <w:rsid w:val="00567882"/>
    <w:rsid w:val="00567EFD"/>
    <w:rsid w:val="005704CF"/>
    <w:rsid w:val="0057116B"/>
    <w:rsid w:val="00572E5D"/>
    <w:rsid w:val="005735D8"/>
    <w:rsid w:val="00574417"/>
    <w:rsid w:val="0057599A"/>
    <w:rsid w:val="005775B1"/>
    <w:rsid w:val="00580301"/>
    <w:rsid w:val="00580C51"/>
    <w:rsid w:val="00581879"/>
    <w:rsid w:val="005819CD"/>
    <w:rsid w:val="005827F0"/>
    <w:rsid w:val="00583AEC"/>
    <w:rsid w:val="00583AED"/>
    <w:rsid w:val="0058482B"/>
    <w:rsid w:val="005849BF"/>
    <w:rsid w:val="00584E47"/>
    <w:rsid w:val="005874E6"/>
    <w:rsid w:val="00590B75"/>
    <w:rsid w:val="00590CAE"/>
    <w:rsid w:val="00592D97"/>
    <w:rsid w:val="00593262"/>
    <w:rsid w:val="005935B8"/>
    <w:rsid w:val="0059496E"/>
    <w:rsid w:val="00595C50"/>
    <w:rsid w:val="00596B24"/>
    <w:rsid w:val="00596F62"/>
    <w:rsid w:val="00597241"/>
    <w:rsid w:val="005972B2"/>
    <w:rsid w:val="005A017E"/>
    <w:rsid w:val="005A0682"/>
    <w:rsid w:val="005A2348"/>
    <w:rsid w:val="005A3172"/>
    <w:rsid w:val="005A322E"/>
    <w:rsid w:val="005A37EC"/>
    <w:rsid w:val="005A4F55"/>
    <w:rsid w:val="005A5160"/>
    <w:rsid w:val="005A59BF"/>
    <w:rsid w:val="005A5C08"/>
    <w:rsid w:val="005A5CBB"/>
    <w:rsid w:val="005A5D46"/>
    <w:rsid w:val="005A6E5A"/>
    <w:rsid w:val="005B09FC"/>
    <w:rsid w:val="005B1772"/>
    <w:rsid w:val="005B197E"/>
    <w:rsid w:val="005B1FF0"/>
    <w:rsid w:val="005B34DF"/>
    <w:rsid w:val="005B353D"/>
    <w:rsid w:val="005B3558"/>
    <w:rsid w:val="005B36AE"/>
    <w:rsid w:val="005B3BD7"/>
    <w:rsid w:val="005B3C45"/>
    <w:rsid w:val="005B40AA"/>
    <w:rsid w:val="005B5734"/>
    <w:rsid w:val="005B6455"/>
    <w:rsid w:val="005B6888"/>
    <w:rsid w:val="005C02A5"/>
    <w:rsid w:val="005C0C15"/>
    <w:rsid w:val="005C1E36"/>
    <w:rsid w:val="005C2040"/>
    <w:rsid w:val="005C20C8"/>
    <w:rsid w:val="005C2E07"/>
    <w:rsid w:val="005C30A2"/>
    <w:rsid w:val="005C37E3"/>
    <w:rsid w:val="005C3957"/>
    <w:rsid w:val="005C4289"/>
    <w:rsid w:val="005C4A59"/>
    <w:rsid w:val="005C57A3"/>
    <w:rsid w:val="005C67BE"/>
    <w:rsid w:val="005C79A6"/>
    <w:rsid w:val="005D0199"/>
    <w:rsid w:val="005D07DB"/>
    <w:rsid w:val="005D0A38"/>
    <w:rsid w:val="005D1251"/>
    <w:rsid w:val="005D1BAA"/>
    <w:rsid w:val="005D1E55"/>
    <w:rsid w:val="005D2479"/>
    <w:rsid w:val="005D28BE"/>
    <w:rsid w:val="005D2DB9"/>
    <w:rsid w:val="005D2EC1"/>
    <w:rsid w:val="005D3804"/>
    <w:rsid w:val="005D3B47"/>
    <w:rsid w:val="005D4312"/>
    <w:rsid w:val="005D4619"/>
    <w:rsid w:val="005D5E3D"/>
    <w:rsid w:val="005D67C5"/>
    <w:rsid w:val="005D70C1"/>
    <w:rsid w:val="005D74FC"/>
    <w:rsid w:val="005D7FCE"/>
    <w:rsid w:val="005E085E"/>
    <w:rsid w:val="005E091A"/>
    <w:rsid w:val="005E0C7C"/>
    <w:rsid w:val="005E38C8"/>
    <w:rsid w:val="005E3D73"/>
    <w:rsid w:val="005E57F6"/>
    <w:rsid w:val="005E77B2"/>
    <w:rsid w:val="005E7858"/>
    <w:rsid w:val="005E7B95"/>
    <w:rsid w:val="005F1E02"/>
    <w:rsid w:val="005F35CC"/>
    <w:rsid w:val="005F491A"/>
    <w:rsid w:val="005F5076"/>
    <w:rsid w:val="005F6512"/>
    <w:rsid w:val="005F6F7C"/>
    <w:rsid w:val="005F7596"/>
    <w:rsid w:val="005F77BE"/>
    <w:rsid w:val="005F78CB"/>
    <w:rsid w:val="005F7F29"/>
    <w:rsid w:val="006003D8"/>
    <w:rsid w:val="0060094C"/>
    <w:rsid w:val="006012E3"/>
    <w:rsid w:val="00601FCD"/>
    <w:rsid w:val="00603167"/>
    <w:rsid w:val="00603798"/>
    <w:rsid w:val="00603FE4"/>
    <w:rsid w:val="00604540"/>
    <w:rsid w:val="006046C0"/>
    <w:rsid w:val="0060471B"/>
    <w:rsid w:val="00604B2E"/>
    <w:rsid w:val="00605219"/>
    <w:rsid w:val="00605A4E"/>
    <w:rsid w:val="00607D1E"/>
    <w:rsid w:val="00610163"/>
    <w:rsid w:val="006102D1"/>
    <w:rsid w:val="00610347"/>
    <w:rsid w:val="00610625"/>
    <w:rsid w:val="00610A98"/>
    <w:rsid w:val="0061209F"/>
    <w:rsid w:val="00613059"/>
    <w:rsid w:val="0061333F"/>
    <w:rsid w:val="00613FF8"/>
    <w:rsid w:val="006147CC"/>
    <w:rsid w:val="006151C2"/>
    <w:rsid w:val="00616C5D"/>
    <w:rsid w:val="0061762C"/>
    <w:rsid w:val="0061765A"/>
    <w:rsid w:val="00617F63"/>
    <w:rsid w:val="006214E8"/>
    <w:rsid w:val="006227BB"/>
    <w:rsid w:val="00622A27"/>
    <w:rsid w:val="00622B90"/>
    <w:rsid w:val="00622BB5"/>
    <w:rsid w:val="00623155"/>
    <w:rsid w:val="0062413C"/>
    <w:rsid w:val="00624DAD"/>
    <w:rsid w:val="006251BA"/>
    <w:rsid w:val="00625B6D"/>
    <w:rsid w:val="00625C04"/>
    <w:rsid w:val="00625D99"/>
    <w:rsid w:val="0062630B"/>
    <w:rsid w:val="00626358"/>
    <w:rsid w:val="006266F7"/>
    <w:rsid w:val="00630391"/>
    <w:rsid w:val="00630543"/>
    <w:rsid w:val="00631DAA"/>
    <w:rsid w:val="00631FA0"/>
    <w:rsid w:val="006329EC"/>
    <w:rsid w:val="00632BAC"/>
    <w:rsid w:val="00633E18"/>
    <w:rsid w:val="006344ED"/>
    <w:rsid w:val="00634CD0"/>
    <w:rsid w:val="00635360"/>
    <w:rsid w:val="006356F3"/>
    <w:rsid w:val="00636087"/>
    <w:rsid w:val="006360BD"/>
    <w:rsid w:val="00636403"/>
    <w:rsid w:val="006366BB"/>
    <w:rsid w:val="00637C4B"/>
    <w:rsid w:val="006403D0"/>
    <w:rsid w:val="00642519"/>
    <w:rsid w:val="00644BFA"/>
    <w:rsid w:val="00644EA4"/>
    <w:rsid w:val="00645A6C"/>
    <w:rsid w:val="006460ED"/>
    <w:rsid w:val="006461FA"/>
    <w:rsid w:val="00646861"/>
    <w:rsid w:val="00646FA7"/>
    <w:rsid w:val="00647524"/>
    <w:rsid w:val="006477F1"/>
    <w:rsid w:val="00647D8E"/>
    <w:rsid w:val="00651413"/>
    <w:rsid w:val="00651558"/>
    <w:rsid w:val="006515A7"/>
    <w:rsid w:val="0065388C"/>
    <w:rsid w:val="00655A7C"/>
    <w:rsid w:val="00655C61"/>
    <w:rsid w:val="0065723E"/>
    <w:rsid w:val="006574AB"/>
    <w:rsid w:val="00657601"/>
    <w:rsid w:val="00661129"/>
    <w:rsid w:val="00661431"/>
    <w:rsid w:val="00661526"/>
    <w:rsid w:val="0066155B"/>
    <w:rsid w:val="006621D7"/>
    <w:rsid w:val="0066298F"/>
    <w:rsid w:val="00662D4D"/>
    <w:rsid w:val="006630E0"/>
    <w:rsid w:val="00663184"/>
    <w:rsid w:val="006640BD"/>
    <w:rsid w:val="00664948"/>
    <w:rsid w:val="006649C5"/>
    <w:rsid w:val="00664EF7"/>
    <w:rsid w:val="00665C89"/>
    <w:rsid w:val="00665DD9"/>
    <w:rsid w:val="00666129"/>
    <w:rsid w:val="006664B1"/>
    <w:rsid w:val="0067010A"/>
    <w:rsid w:val="00670598"/>
    <w:rsid w:val="00670AAF"/>
    <w:rsid w:val="00671A00"/>
    <w:rsid w:val="00671D37"/>
    <w:rsid w:val="00671DC8"/>
    <w:rsid w:val="00673418"/>
    <w:rsid w:val="006739FD"/>
    <w:rsid w:val="00673BD6"/>
    <w:rsid w:val="00673BE3"/>
    <w:rsid w:val="00674C0B"/>
    <w:rsid w:val="00675330"/>
    <w:rsid w:val="00675C98"/>
    <w:rsid w:val="00676C11"/>
    <w:rsid w:val="006771AE"/>
    <w:rsid w:val="00677867"/>
    <w:rsid w:val="0067789A"/>
    <w:rsid w:val="00677B76"/>
    <w:rsid w:val="00677BBD"/>
    <w:rsid w:val="00677C58"/>
    <w:rsid w:val="00677D3C"/>
    <w:rsid w:val="00681329"/>
    <w:rsid w:val="00682073"/>
    <w:rsid w:val="00682128"/>
    <w:rsid w:val="006823E5"/>
    <w:rsid w:val="00682643"/>
    <w:rsid w:val="00682BCD"/>
    <w:rsid w:val="00682C92"/>
    <w:rsid w:val="00683156"/>
    <w:rsid w:val="00683A28"/>
    <w:rsid w:val="00684927"/>
    <w:rsid w:val="00685AC8"/>
    <w:rsid w:val="00685BF3"/>
    <w:rsid w:val="00686B70"/>
    <w:rsid w:val="006917A8"/>
    <w:rsid w:val="00691A14"/>
    <w:rsid w:val="006937C5"/>
    <w:rsid w:val="00693B89"/>
    <w:rsid w:val="00694390"/>
    <w:rsid w:val="006945E8"/>
    <w:rsid w:val="00696413"/>
    <w:rsid w:val="0069666C"/>
    <w:rsid w:val="0069669A"/>
    <w:rsid w:val="00696DE0"/>
    <w:rsid w:val="006975A4"/>
    <w:rsid w:val="00697B08"/>
    <w:rsid w:val="00697E12"/>
    <w:rsid w:val="00697FF0"/>
    <w:rsid w:val="006A100A"/>
    <w:rsid w:val="006A1362"/>
    <w:rsid w:val="006A157C"/>
    <w:rsid w:val="006A21B0"/>
    <w:rsid w:val="006A34AD"/>
    <w:rsid w:val="006A3824"/>
    <w:rsid w:val="006A3FF3"/>
    <w:rsid w:val="006A4C13"/>
    <w:rsid w:val="006A5515"/>
    <w:rsid w:val="006A5D59"/>
    <w:rsid w:val="006A63B6"/>
    <w:rsid w:val="006A6CB9"/>
    <w:rsid w:val="006B073E"/>
    <w:rsid w:val="006B08B4"/>
    <w:rsid w:val="006B0B76"/>
    <w:rsid w:val="006B269D"/>
    <w:rsid w:val="006B318B"/>
    <w:rsid w:val="006B3DCE"/>
    <w:rsid w:val="006B538A"/>
    <w:rsid w:val="006B5440"/>
    <w:rsid w:val="006B55AC"/>
    <w:rsid w:val="006B5810"/>
    <w:rsid w:val="006B5D3E"/>
    <w:rsid w:val="006B620E"/>
    <w:rsid w:val="006B66AF"/>
    <w:rsid w:val="006B6B72"/>
    <w:rsid w:val="006B7844"/>
    <w:rsid w:val="006B7A3F"/>
    <w:rsid w:val="006C107C"/>
    <w:rsid w:val="006C229B"/>
    <w:rsid w:val="006C3338"/>
    <w:rsid w:val="006C3CA6"/>
    <w:rsid w:val="006C5377"/>
    <w:rsid w:val="006C62F2"/>
    <w:rsid w:val="006D0040"/>
    <w:rsid w:val="006D06DD"/>
    <w:rsid w:val="006D0AA8"/>
    <w:rsid w:val="006D0FBB"/>
    <w:rsid w:val="006D13AC"/>
    <w:rsid w:val="006D200F"/>
    <w:rsid w:val="006D20C1"/>
    <w:rsid w:val="006D3580"/>
    <w:rsid w:val="006D3949"/>
    <w:rsid w:val="006D3C1A"/>
    <w:rsid w:val="006D3D3E"/>
    <w:rsid w:val="006D417D"/>
    <w:rsid w:val="006D44ED"/>
    <w:rsid w:val="006D4BDA"/>
    <w:rsid w:val="006D4C99"/>
    <w:rsid w:val="006D5BD9"/>
    <w:rsid w:val="006D6EA8"/>
    <w:rsid w:val="006D73C7"/>
    <w:rsid w:val="006E0CD9"/>
    <w:rsid w:val="006E2C51"/>
    <w:rsid w:val="006E3E27"/>
    <w:rsid w:val="006E4C12"/>
    <w:rsid w:val="006E56A2"/>
    <w:rsid w:val="006E56B9"/>
    <w:rsid w:val="006E5E11"/>
    <w:rsid w:val="006E64DA"/>
    <w:rsid w:val="006E754C"/>
    <w:rsid w:val="006E7BB3"/>
    <w:rsid w:val="006F04C3"/>
    <w:rsid w:val="006F15F1"/>
    <w:rsid w:val="006F1A2B"/>
    <w:rsid w:val="006F3C44"/>
    <w:rsid w:val="006F3FD3"/>
    <w:rsid w:val="006F4BB3"/>
    <w:rsid w:val="006F4F0B"/>
    <w:rsid w:val="006F4FB3"/>
    <w:rsid w:val="006F6AA9"/>
    <w:rsid w:val="006F6CE1"/>
    <w:rsid w:val="006F7721"/>
    <w:rsid w:val="006F7DC1"/>
    <w:rsid w:val="007001EB"/>
    <w:rsid w:val="00700237"/>
    <w:rsid w:val="007004D9"/>
    <w:rsid w:val="00700560"/>
    <w:rsid w:val="00700F4B"/>
    <w:rsid w:val="007011FB"/>
    <w:rsid w:val="0070129C"/>
    <w:rsid w:val="00701D42"/>
    <w:rsid w:val="00702466"/>
    <w:rsid w:val="007025F0"/>
    <w:rsid w:val="007027AB"/>
    <w:rsid w:val="007031CD"/>
    <w:rsid w:val="00703D10"/>
    <w:rsid w:val="007054D9"/>
    <w:rsid w:val="007056CE"/>
    <w:rsid w:val="007058CA"/>
    <w:rsid w:val="00706220"/>
    <w:rsid w:val="007065A3"/>
    <w:rsid w:val="00706E62"/>
    <w:rsid w:val="007073D5"/>
    <w:rsid w:val="00711052"/>
    <w:rsid w:val="007114A2"/>
    <w:rsid w:val="0071184E"/>
    <w:rsid w:val="00711E21"/>
    <w:rsid w:val="007121AF"/>
    <w:rsid w:val="007121B7"/>
    <w:rsid w:val="0071264B"/>
    <w:rsid w:val="00712DFC"/>
    <w:rsid w:val="00713F1F"/>
    <w:rsid w:val="00714277"/>
    <w:rsid w:val="00714981"/>
    <w:rsid w:val="00716F97"/>
    <w:rsid w:val="007170D9"/>
    <w:rsid w:val="00717471"/>
    <w:rsid w:val="00717497"/>
    <w:rsid w:val="00717871"/>
    <w:rsid w:val="007204E4"/>
    <w:rsid w:val="00720877"/>
    <w:rsid w:val="00721695"/>
    <w:rsid w:val="0072195A"/>
    <w:rsid w:val="00721B9E"/>
    <w:rsid w:val="00722563"/>
    <w:rsid w:val="00722B46"/>
    <w:rsid w:val="00723EC8"/>
    <w:rsid w:val="007247C2"/>
    <w:rsid w:val="00724879"/>
    <w:rsid w:val="00725B3D"/>
    <w:rsid w:val="007265C5"/>
    <w:rsid w:val="00731A0B"/>
    <w:rsid w:val="007328A6"/>
    <w:rsid w:val="007333F6"/>
    <w:rsid w:val="00733ED6"/>
    <w:rsid w:val="00735C48"/>
    <w:rsid w:val="0073780D"/>
    <w:rsid w:val="00737AD0"/>
    <w:rsid w:val="00740BA9"/>
    <w:rsid w:val="00741C36"/>
    <w:rsid w:val="0074226B"/>
    <w:rsid w:val="00742690"/>
    <w:rsid w:val="007439D6"/>
    <w:rsid w:val="007441AD"/>
    <w:rsid w:val="00744C48"/>
    <w:rsid w:val="0074559D"/>
    <w:rsid w:val="00745FFD"/>
    <w:rsid w:val="00746D59"/>
    <w:rsid w:val="007478F0"/>
    <w:rsid w:val="00751964"/>
    <w:rsid w:val="00751C02"/>
    <w:rsid w:val="00752488"/>
    <w:rsid w:val="00753C45"/>
    <w:rsid w:val="00753CCA"/>
    <w:rsid w:val="00754A21"/>
    <w:rsid w:val="0075518A"/>
    <w:rsid w:val="00755790"/>
    <w:rsid w:val="00755794"/>
    <w:rsid w:val="00756105"/>
    <w:rsid w:val="00760C4A"/>
    <w:rsid w:val="0076101E"/>
    <w:rsid w:val="007616C7"/>
    <w:rsid w:val="00761A2E"/>
    <w:rsid w:val="0076291F"/>
    <w:rsid w:val="00762C17"/>
    <w:rsid w:val="00765317"/>
    <w:rsid w:val="0076620D"/>
    <w:rsid w:val="007663B3"/>
    <w:rsid w:val="00767670"/>
    <w:rsid w:val="00767CA8"/>
    <w:rsid w:val="00770192"/>
    <w:rsid w:val="0077047B"/>
    <w:rsid w:val="00770B2C"/>
    <w:rsid w:val="00770C0C"/>
    <w:rsid w:val="00770D92"/>
    <w:rsid w:val="00770DBC"/>
    <w:rsid w:val="00770E2E"/>
    <w:rsid w:val="00771DBA"/>
    <w:rsid w:val="007727DF"/>
    <w:rsid w:val="00772C02"/>
    <w:rsid w:val="00773C58"/>
    <w:rsid w:val="00775149"/>
    <w:rsid w:val="007756FC"/>
    <w:rsid w:val="00775D75"/>
    <w:rsid w:val="007768CC"/>
    <w:rsid w:val="00776CB7"/>
    <w:rsid w:val="00776F9B"/>
    <w:rsid w:val="0077733A"/>
    <w:rsid w:val="007776D9"/>
    <w:rsid w:val="00777A0F"/>
    <w:rsid w:val="00780BE8"/>
    <w:rsid w:val="00780FD0"/>
    <w:rsid w:val="00781365"/>
    <w:rsid w:val="007827F1"/>
    <w:rsid w:val="00783917"/>
    <w:rsid w:val="00783E50"/>
    <w:rsid w:val="0078422E"/>
    <w:rsid w:val="00784262"/>
    <w:rsid w:val="007842EE"/>
    <w:rsid w:val="00785E01"/>
    <w:rsid w:val="00785E21"/>
    <w:rsid w:val="00787324"/>
    <w:rsid w:val="007876C3"/>
    <w:rsid w:val="007876FB"/>
    <w:rsid w:val="00787D0F"/>
    <w:rsid w:val="00790AA7"/>
    <w:rsid w:val="00790D18"/>
    <w:rsid w:val="007914A4"/>
    <w:rsid w:val="00791DAE"/>
    <w:rsid w:val="0079206A"/>
    <w:rsid w:val="007924F8"/>
    <w:rsid w:val="007931FC"/>
    <w:rsid w:val="007935F8"/>
    <w:rsid w:val="0079401F"/>
    <w:rsid w:val="007952C8"/>
    <w:rsid w:val="00795549"/>
    <w:rsid w:val="007959C3"/>
    <w:rsid w:val="007971B2"/>
    <w:rsid w:val="0079729F"/>
    <w:rsid w:val="00797BC6"/>
    <w:rsid w:val="007A0A33"/>
    <w:rsid w:val="007A1172"/>
    <w:rsid w:val="007A1929"/>
    <w:rsid w:val="007A233F"/>
    <w:rsid w:val="007A2782"/>
    <w:rsid w:val="007A3656"/>
    <w:rsid w:val="007A4A78"/>
    <w:rsid w:val="007A4F58"/>
    <w:rsid w:val="007A50EC"/>
    <w:rsid w:val="007A5665"/>
    <w:rsid w:val="007A57DF"/>
    <w:rsid w:val="007A593F"/>
    <w:rsid w:val="007A5A5F"/>
    <w:rsid w:val="007A5EA8"/>
    <w:rsid w:val="007A686F"/>
    <w:rsid w:val="007A735A"/>
    <w:rsid w:val="007A7A86"/>
    <w:rsid w:val="007A7FD3"/>
    <w:rsid w:val="007B0777"/>
    <w:rsid w:val="007B0BB1"/>
    <w:rsid w:val="007B1000"/>
    <w:rsid w:val="007B13B9"/>
    <w:rsid w:val="007B25E3"/>
    <w:rsid w:val="007B2A5B"/>
    <w:rsid w:val="007B434B"/>
    <w:rsid w:val="007B4F2F"/>
    <w:rsid w:val="007B59BF"/>
    <w:rsid w:val="007C0CC0"/>
    <w:rsid w:val="007C0D17"/>
    <w:rsid w:val="007C15D5"/>
    <w:rsid w:val="007C193C"/>
    <w:rsid w:val="007C203E"/>
    <w:rsid w:val="007C2C18"/>
    <w:rsid w:val="007C2E55"/>
    <w:rsid w:val="007C33B8"/>
    <w:rsid w:val="007C3642"/>
    <w:rsid w:val="007C3AC2"/>
    <w:rsid w:val="007C3E1A"/>
    <w:rsid w:val="007C51B6"/>
    <w:rsid w:val="007C662A"/>
    <w:rsid w:val="007C6A54"/>
    <w:rsid w:val="007C6BFF"/>
    <w:rsid w:val="007C70B7"/>
    <w:rsid w:val="007C762A"/>
    <w:rsid w:val="007D1EED"/>
    <w:rsid w:val="007D2D56"/>
    <w:rsid w:val="007D311B"/>
    <w:rsid w:val="007D355C"/>
    <w:rsid w:val="007D3CE1"/>
    <w:rsid w:val="007E0BA9"/>
    <w:rsid w:val="007E0FCD"/>
    <w:rsid w:val="007E1BF7"/>
    <w:rsid w:val="007E23BB"/>
    <w:rsid w:val="007E4294"/>
    <w:rsid w:val="007E465E"/>
    <w:rsid w:val="007E4CA5"/>
    <w:rsid w:val="007E5DCD"/>
    <w:rsid w:val="007E6A5A"/>
    <w:rsid w:val="007F0000"/>
    <w:rsid w:val="007F02B9"/>
    <w:rsid w:val="007F1422"/>
    <w:rsid w:val="007F1ADC"/>
    <w:rsid w:val="007F1CFC"/>
    <w:rsid w:val="007F39D6"/>
    <w:rsid w:val="007F442F"/>
    <w:rsid w:val="007F46D6"/>
    <w:rsid w:val="007F4701"/>
    <w:rsid w:val="007F50D6"/>
    <w:rsid w:val="007F5994"/>
    <w:rsid w:val="007F5BD2"/>
    <w:rsid w:val="007F6829"/>
    <w:rsid w:val="00800371"/>
    <w:rsid w:val="008004D3"/>
    <w:rsid w:val="00800F36"/>
    <w:rsid w:val="00801150"/>
    <w:rsid w:val="00801D05"/>
    <w:rsid w:val="0080215B"/>
    <w:rsid w:val="00803974"/>
    <w:rsid w:val="008050D5"/>
    <w:rsid w:val="0080612B"/>
    <w:rsid w:val="00806D76"/>
    <w:rsid w:val="00807EEF"/>
    <w:rsid w:val="008101D5"/>
    <w:rsid w:val="00810EE8"/>
    <w:rsid w:val="008125F6"/>
    <w:rsid w:val="00812B74"/>
    <w:rsid w:val="00812E6A"/>
    <w:rsid w:val="00813CF4"/>
    <w:rsid w:val="00814243"/>
    <w:rsid w:val="00814E8D"/>
    <w:rsid w:val="00815392"/>
    <w:rsid w:val="00816607"/>
    <w:rsid w:val="008169C1"/>
    <w:rsid w:val="00820068"/>
    <w:rsid w:val="00820635"/>
    <w:rsid w:val="008210C4"/>
    <w:rsid w:val="0082140D"/>
    <w:rsid w:val="0082177E"/>
    <w:rsid w:val="008226B7"/>
    <w:rsid w:val="008239D2"/>
    <w:rsid w:val="00823B62"/>
    <w:rsid w:val="0082440A"/>
    <w:rsid w:val="00825604"/>
    <w:rsid w:val="00825AA3"/>
    <w:rsid w:val="00826D38"/>
    <w:rsid w:val="0083020B"/>
    <w:rsid w:val="008307A4"/>
    <w:rsid w:val="00831484"/>
    <w:rsid w:val="00832144"/>
    <w:rsid w:val="00832E43"/>
    <w:rsid w:val="00833DD4"/>
    <w:rsid w:val="00834C76"/>
    <w:rsid w:val="00834F91"/>
    <w:rsid w:val="00835295"/>
    <w:rsid w:val="008358FD"/>
    <w:rsid w:val="00835A18"/>
    <w:rsid w:val="00836A58"/>
    <w:rsid w:val="00836E75"/>
    <w:rsid w:val="008371A3"/>
    <w:rsid w:val="008379B4"/>
    <w:rsid w:val="0084092F"/>
    <w:rsid w:val="00840940"/>
    <w:rsid w:val="00840E17"/>
    <w:rsid w:val="00841085"/>
    <w:rsid w:val="00842544"/>
    <w:rsid w:val="00843CE8"/>
    <w:rsid w:val="0084650A"/>
    <w:rsid w:val="008468DB"/>
    <w:rsid w:val="0084722D"/>
    <w:rsid w:val="00847433"/>
    <w:rsid w:val="0084793D"/>
    <w:rsid w:val="0085001B"/>
    <w:rsid w:val="008500F1"/>
    <w:rsid w:val="008505F9"/>
    <w:rsid w:val="00850FD9"/>
    <w:rsid w:val="00851C2E"/>
    <w:rsid w:val="00851EE7"/>
    <w:rsid w:val="00852960"/>
    <w:rsid w:val="00853264"/>
    <w:rsid w:val="0085397D"/>
    <w:rsid w:val="00855DDE"/>
    <w:rsid w:val="0085657B"/>
    <w:rsid w:val="00856D99"/>
    <w:rsid w:val="00857561"/>
    <w:rsid w:val="008577B9"/>
    <w:rsid w:val="00857DBE"/>
    <w:rsid w:val="00857FAA"/>
    <w:rsid w:val="00857FAD"/>
    <w:rsid w:val="00860C92"/>
    <w:rsid w:val="00861A78"/>
    <w:rsid w:val="00861CB4"/>
    <w:rsid w:val="008634E0"/>
    <w:rsid w:val="0086429E"/>
    <w:rsid w:val="00864BF8"/>
    <w:rsid w:val="00864E98"/>
    <w:rsid w:val="00865563"/>
    <w:rsid w:val="00865670"/>
    <w:rsid w:val="008656E7"/>
    <w:rsid w:val="0086573B"/>
    <w:rsid w:val="00865927"/>
    <w:rsid w:val="0086790C"/>
    <w:rsid w:val="008705B6"/>
    <w:rsid w:val="008709A5"/>
    <w:rsid w:val="00870F15"/>
    <w:rsid w:val="00870FB0"/>
    <w:rsid w:val="00871060"/>
    <w:rsid w:val="00871342"/>
    <w:rsid w:val="00872B56"/>
    <w:rsid w:val="00874B1E"/>
    <w:rsid w:val="00875917"/>
    <w:rsid w:val="00875AEC"/>
    <w:rsid w:val="00876D34"/>
    <w:rsid w:val="00877336"/>
    <w:rsid w:val="00877531"/>
    <w:rsid w:val="0088157F"/>
    <w:rsid w:val="00882187"/>
    <w:rsid w:val="008844ED"/>
    <w:rsid w:val="00884506"/>
    <w:rsid w:val="00884AAA"/>
    <w:rsid w:val="00885D7A"/>
    <w:rsid w:val="00886232"/>
    <w:rsid w:val="00886BAD"/>
    <w:rsid w:val="008871CD"/>
    <w:rsid w:val="008871F4"/>
    <w:rsid w:val="008873C5"/>
    <w:rsid w:val="008877E4"/>
    <w:rsid w:val="00890304"/>
    <w:rsid w:val="008907C7"/>
    <w:rsid w:val="00890B19"/>
    <w:rsid w:val="00890CAA"/>
    <w:rsid w:val="00892311"/>
    <w:rsid w:val="00892B53"/>
    <w:rsid w:val="008940C8"/>
    <w:rsid w:val="008944D8"/>
    <w:rsid w:val="008962AC"/>
    <w:rsid w:val="00896E1E"/>
    <w:rsid w:val="00896E5A"/>
    <w:rsid w:val="008970F8"/>
    <w:rsid w:val="00897178"/>
    <w:rsid w:val="00897D91"/>
    <w:rsid w:val="00897F32"/>
    <w:rsid w:val="008A09FF"/>
    <w:rsid w:val="008A0A84"/>
    <w:rsid w:val="008A0C58"/>
    <w:rsid w:val="008A1142"/>
    <w:rsid w:val="008A1454"/>
    <w:rsid w:val="008A1B9D"/>
    <w:rsid w:val="008A2EC4"/>
    <w:rsid w:val="008A5390"/>
    <w:rsid w:val="008A60ED"/>
    <w:rsid w:val="008A7AEB"/>
    <w:rsid w:val="008B00D7"/>
    <w:rsid w:val="008B05B7"/>
    <w:rsid w:val="008B0B77"/>
    <w:rsid w:val="008B1477"/>
    <w:rsid w:val="008B15AF"/>
    <w:rsid w:val="008B2635"/>
    <w:rsid w:val="008B2F3A"/>
    <w:rsid w:val="008B3948"/>
    <w:rsid w:val="008B41D8"/>
    <w:rsid w:val="008B4724"/>
    <w:rsid w:val="008B4991"/>
    <w:rsid w:val="008B598D"/>
    <w:rsid w:val="008B59FD"/>
    <w:rsid w:val="008B61C2"/>
    <w:rsid w:val="008B6488"/>
    <w:rsid w:val="008B6918"/>
    <w:rsid w:val="008B6B71"/>
    <w:rsid w:val="008B7110"/>
    <w:rsid w:val="008B722F"/>
    <w:rsid w:val="008C0588"/>
    <w:rsid w:val="008C0CE9"/>
    <w:rsid w:val="008C1E91"/>
    <w:rsid w:val="008C227D"/>
    <w:rsid w:val="008C2618"/>
    <w:rsid w:val="008C2BA5"/>
    <w:rsid w:val="008C31D5"/>
    <w:rsid w:val="008C387E"/>
    <w:rsid w:val="008C3A98"/>
    <w:rsid w:val="008C42F3"/>
    <w:rsid w:val="008C44FE"/>
    <w:rsid w:val="008C4E0B"/>
    <w:rsid w:val="008C4E9E"/>
    <w:rsid w:val="008C50CA"/>
    <w:rsid w:val="008C5CC2"/>
    <w:rsid w:val="008C5F40"/>
    <w:rsid w:val="008C695B"/>
    <w:rsid w:val="008C6FCE"/>
    <w:rsid w:val="008C796E"/>
    <w:rsid w:val="008D1A13"/>
    <w:rsid w:val="008D1B12"/>
    <w:rsid w:val="008D2B17"/>
    <w:rsid w:val="008D3EEC"/>
    <w:rsid w:val="008D5E95"/>
    <w:rsid w:val="008E112C"/>
    <w:rsid w:val="008E1590"/>
    <w:rsid w:val="008E27F8"/>
    <w:rsid w:val="008E36B0"/>
    <w:rsid w:val="008E38EB"/>
    <w:rsid w:val="008E6346"/>
    <w:rsid w:val="008E6E16"/>
    <w:rsid w:val="008E757C"/>
    <w:rsid w:val="008E7BC6"/>
    <w:rsid w:val="008E7E81"/>
    <w:rsid w:val="008F15B1"/>
    <w:rsid w:val="008F1605"/>
    <w:rsid w:val="008F17EB"/>
    <w:rsid w:val="008F1954"/>
    <w:rsid w:val="008F29F1"/>
    <w:rsid w:val="008F38B7"/>
    <w:rsid w:val="008F3CDF"/>
    <w:rsid w:val="008F3EE2"/>
    <w:rsid w:val="008F425C"/>
    <w:rsid w:val="008F44B3"/>
    <w:rsid w:val="008F46BD"/>
    <w:rsid w:val="008F4EF7"/>
    <w:rsid w:val="008F58D3"/>
    <w:rsid w:val="008F5ACA"/>
    <w:rsid w:val="008F65E8"/>
    <w:rsid w:val="008F6A5F"/>
    <w:rsid w:val="008F7084"/>
    <w:rsid w:val="008F77E9"/>
    <w:rsid w:val="00900916"/>
    <w:rsid w:val="009017B6"/>
    <w:rsid w:val="00901825"/>
    <w:rsid w:val="00902685"/>
    <w:rsid w:val="00903168"/>
    <w:rsid w:val="00903386"/>
    <w:rsid w:val="00903EDA"/>
    <w:rsid w:val="009060F6"/>
    <w:rsid w:val="0091019E"/>
    <w:rsid w:val="009106BD"/>
    <w:rsid w:val="009107D6"/>
    <w:rsid w:val="00911528"/>
    <w:rsid w:val="00911576"/>
    <w:rsid w:val="009129BE"/>
    <w:rsid w:val="00912C07"/>
    <w:rsid w:val="0091592E"/>
    <w:rsid w:val="00916E87"/>
    <w:rsid w:val="00917210"/>
    <w:rsid w:val="0091759E"/>
    <w:rsid w:val="009200A5"/>
    <w:rsid w:val="00920B2E"/>
    <w:rsid w:val="00920C10"/>
    <w:rsid w:val="009211A2"/>
    <w:rsid w:val="00921697"/>
    <w:rsid w:val="00921AA3"/>
    <w:rsid w:val="00921D44"/>
    <w:rsid w:val="00921E2B"/>
    <w:rsid w:val="00922116"/>
    <w:rsid w:val="00922813"/>
    <w:rsid w:val="00922DD8"/>
    <w:rsid w:val="00923244"/>
    <w:rsid w:val="009242AA"/>
    <w:rsid w:val="00924A47"/>
    <w:rsid w:val="00925185"/>
    <w:rsid w:val="009259AA"/>
    <w:rsid w:val="00925FA4"/>
    <w:rsid w:val="00925FB0"/>
    <w:rsid w:val="009263C3"/>
    <w:rsid w:val="009274C6"/>
    <w:rsid w:val="00927786"/>
    <w:rsid w:val="00930024"/>
    <w:rsid w:val="00930445"/>
    <w:rsid w:val="009306C2"/>
    <w:rsid w:val="00930846"/>
    <w:rsid w:val="00931132"/>
    <w:rsid w:val="009312B6"/>
    <w:rsid w:val="00931CDC"/>
    <w:rsid w:val="00933496"/>
    <w:rsid w:val="00933754"/>
    <w:rsid w:val="00933785"/>
    <w:rsid w:val="00933C90"/>
    <w:rsid w:val="00933DD1"/>
    <w:rsid w:val="00933F9D"/>
    <w:rsid w:val="009342B2"/>
    <w:rsid w:val="00935774"/>
    <w:rsid w:val="00936436"/>
    <w:rsid w:val="0093657B"/>
    <w:rsid w:val="00937966"/>
    <w:rsid w:val="009400DB"/>
    <w:rsid w:val="0094042E"/>
    <w:rsid w:val="00940511"/>
    <w:rsid w:val="00941446"/>
    <w:rsid w:val="00942093"/>
    <w:rsid w:val="0094316D"/>
    <w:rsid w:val="00943255"/>
    <w:rsid w:val="00943B78"/>
    <w:rsid w:val="00944C33"/>
    <w:rsid w:val="00944EC9"/>
    <w:rsid w:val="00944FDA"/>
    <w:rsid w:val="00945D7B"/>
    <w:rsid w:val="00946EE4"/>
    <w:rsid w:val="00946FB7"/>
    <w:rsid w:val="009471BB"/>
    <w:rsid w:val="00947C02"/>
    <w:rsid w:val="0095044C"/>
    <w:rsid w:val="00950476"/>
    <w:rsid w:val="00950B14"/>
    <w:rsid w:val="00950EBD"/>
    <w:rsid w:val="00951A73"/>
    <w:rsid w:val="00951BF1"/>
    <w:rsid w:val="00951EC6"/>
    <w:rsid w:val="00952915"/>
    <w:rsid w:val="009532D6"/>
    <w:rsid w:val="009536D6"/>
    <w:rsid w:val="00953A99"/>
    <w:rsid w:val="00953DAC"/>
    <w:rsid w:val="00953E62"/>
    <w:rsid w:val="00954F06"/>
    <w:rsid w:val="00955830"/>
    <w:rsid w:val="00955A8C"/>
    <w:rsid w:val="00955C7A"/>
    <w:rsid w:val="00955FAF"/>
    <w:rsid w:val="00956020"/>
    <w:rsid w:val="0095658B"/>
    <w:rsid w:val="009565A2"/>
    <w:rsid w:val="00956A8F"/>
    <w:rsid w:val="009576E8"/>
    <w:rsid w:val="00961B96"/>
    <w:rsid w:val="009623DE"/>
    <w:rsid w:val="009628CD"/>
    <w:rsid w:val="00962EB5"/>
    <w:rsid w:val="00963453"/>
    <w:rsid w:val="00963A69"/>
    <w:rsid w:val="0096528C"/>
    <w:rsid w:val="009652A4"/>
    <w:rsid w:val="00965E52"/>
    <w:rsid w:val="00966830"/>
    <w:rsid w:val="0096738F"/>
    <w:rsid w:val="00967A67"/>
    <w:rsid w:val="0097067A"/>
    <w:rsid w:val="009709CA"/>
    <w:rsid w:val="00971047"/>
    <w:rsid w:val="00971401"/>
    <w:rsid w:val="0097170B"/>
    <w:rsid w:val="00971B23"/>
    <w:rsid w:val="00972706"/>
    <w:rsid w:val="00973013"/>
    <w:rsid w:val="009737B9"/>
    <w:rsid w:val="00973D74"/>
    <w:rsid w:val="00974DD2"/>
    <w:rsid w:val="009801BD"/>
    <w:rsid w:val="00980202"/>
    <w:rsid w:val="009826E3"/>
    <w:rsid w:val="00982768"/>
    <w:rsid w:val="00982BA4"/>
    <w:rsid w:val="009841BB"/>
    <w:rsid w:val="009847A9"/>
    <w:rsid w:val="0098547D"/>
    <w:rsid w:val="00985DE2"/>
    <w:rsid w:val="009872FE"/>
    <w:rsid w:val="0098773D"/>
    <w:rsid w:val="0099056C"/>
    <w:rsid w:val="00990955"/>
    <w:rsid w:val="00991933"/>
    <w:rsid w:val="00992743"/>
    <w:rsid w:val="00992B4D"/>
    <w:rsid w:val="009936B9"/>
    <w:rsid w:val="00993F46"/>
    <w:rsid w:val="00993F97"/>
    <w:rsid w:val="00994AAB"/>
    <w:rsid w:val="00995141"/>
    <w:rsid w:val="009955D0"/>
    <w:rsid w:val="0099582F"/>
    <w:rsid w:val="00995E10"/>
    <w:rsid w:val="00996F7A"/>
    <w:rsid w:val="00997B25"/>
    <w:rsid w:val="00997B2C"/>
    <w:rsid w:val="00997CF1"/>
    <w:rsid w:val="009A060F"/>
    <w:rsid w:val="009A0954"/>
    <w:rsid w:val="009A0D1D"/>
    <w:rsid w:val="009A0DE4"/>
    <w:rsid w:val="009A128F"/>
    <w:rsid w:val="009A1A94"/>
    <w:rsid w:val="009A1DEE"/>
    <w:rsid w:val="009A2586"/>
    <w:rsid w:val="009A28C2"/>
    <w:rsid w:val="009A4DB7"/>
    <w:rsid w:val="009A57E1"/>
    <w:rsid w:val="009A657B"/>
    <w:rsid w:val="009A77EB"/>
    <w:rsid w:val="009B0F73"/>
    <w:rsid w:val="009B106E"/>
    <w:rsid w:val="009B1C2E"/>
    <w:rsid w:val="009B226C"/>
    <w:rsid w:val="009B2515"/>
    <w:rsid w:val="009B3BC0"/>
    <w:rsid w:val="009B46C3"/>
    <w:rsid w:val="009B5AB1"/>
    <w:rsid w:val="009B5B0B"/>
    <w:rsid w:val="009B65B1"/>
    <w:rsid w:val="009B6B02"/>
    <w:rsid w:val="009B7AF6"/>
    <w:rsid w:val="009C00FC"/>
    <w:rsid w:val="009C094E"/>
    <w:rsid w:val="009C0D11"/>
    <w:rsid w:val="009C1614"/>
    <w:rsid w:val="009C1DD7"/>
    <w:rsid w:val="009C1DE8"/>
    <w:rsid w:val="009C3162"/>
    <w:rsid w:val="009C34B1"/>
    <w:rsid w:val="009C3A25"/>
    <w:rsid w:val="009C3E6A"/>
    <w:rsid w:val="009C42A6"/>
    <w:rsid w:val="009C467F"/>
    <w:rsid w:val="009C478C"/>
    <w:rsid w:val="009C6D06"/>
    <w:rsid w:val="009C6F6A"/>
    <w:rsid w:val="009C7A7F"/>
    <w:rsid w:val="009D118F"/>
    <w:rsid w:val="009D1A2A"/>
    <w:rsid w:val="009D1ACB"/>
    <w:rsid w:val="009D1FCD"/>
    <w:rsid w:val="009D236B"/>
    <w:rsid w:val="009D2EC4"/>
    <w:rsid w:val="009D2F0B"/>
    <w:rsid w:val="009D58B1"/>
    <w:rsid w:val="009D5947"/>
    <w:rsid w:val="009D5AE2"/>
    <w:rsid w:val="009D5C84"/>
    <w:rsid w:val="009D6FA8"/>
    <w:rsid w:val="009D765B"/>
    <w:rsid w:val="009D7A89"/>
    <w:rsid w:val="009E0688"/>
    <w:rsid w:val="009E1807"/>
    <w:rsid w:val="009E1B6C"/>
    <w:rsid w:val="009E2199"/>
    <w:rsid w:val="009E29AE"/>
    <w:rsid w:val="009E2C82"/>
    <w:rsid w:val="009E329D"/>
    <w:rsid w:val="009E36FC"/>
    <w:rsid w:val="009E503F"/>
    <w:rsid w:val="009E60BA"/>
    <w:rsid w:val="009E6D97"/>
    <w:rsid w:val="009E7195"/>
    <w:rsid w:val="009E76C4"/>
    <w:rsid w:val="009E7FCB"/>
    <w:rsid w:val="009F03D0"/>
    <w:rsid w:val="009F0635"/>
    <w:rsid w:val="009F06C1"/>
    <w:rsid w:val="009F309C"/>
    <w:rsid w:val="009F3635"/>
    <w:rsid w:val="009F3DDA"/>
    <w:rsid w:val="009F4A01"/>
    <w:rsid w:val="009F50A6"/>
    <w:rsid w:val="009F5175"/>
    <w:rsid w:val="009F5200"/>
    <w:rsid w:val="009F5893"/>
    <w:rsid w:val="009F59DB"/>
    <w:rsid w:val="009F5B15"/>
    <w:rsid w:val="009F64CF"/>
    <w:rsid w:val="009F6C32"/>
    <w:rsid w:val="009F785E"/>
    <w:rsid w:val="009F7A0C"/>
    <w:rsid w:val="00A00245"/>
    <w:rsid w:val="00A012A8"/>
    <w:rsid w:val="00A01CEB"/>
    <w:rsid w:val="00A01E66"/>
    <w:rsid w:val="00A03A5F"/>
    <w:rsid w:val="00A042BE"/>
    <w:rsid w:val="00A04563"/>
    <w:rsid w:val="00A05521"/>
    <w:rsid w:val="00A056A2"/>
    <w:rsid w:val="00A05C6A"/>
    <w:rsid w:val="00A07370"/>
    <w:rsid w:val="00A0783E"/>
    <w:rsid w:val="00A10618"/>
    <w:rsid w:val="00A116A9"/>
    <w:rsid w:val="00A11913"/>
    <w:rsid w:val="00A136E1"/>
    <w:rsid w:val="00A13B10"/>
    <w:rsid w:val="00A13F57"/>
    <w:rsid w:val="00A145CF"/>
    <w:rsid w:val="00A14854"/>
    <w:rsid w:val="00A14DA6"/>
    <w:rsid w:val="00A1582C"/>
    <w:rsid w:val="00A15A28"/>
    <w:rsid w:val="00A16195"/>
    <w:rsid w:val="00A16848"/>
    <w:rsid w:val="00A17551"/>
    <w:rsid w:val="00A21637"/>
    <w:rsid w:val="00A226AD"/>
    <w:rsid w:val="00A22915"/>
    <w:rsid w:val="00A239AC"/>
    <w:rsid w:val="00A23C18"/>
    <w:rsid w:val="00A23E12"/>
    <w:rsid w:val="00A23F9D"/>
    <w:rsid w:val="00A24686"/>
    <w:rsid w:val="00A256CB"/>
    <w:rsid w:val="00A25F9E"/>
    <w:rsid w:val="00A26AE7"/>
    <w:rsid w:val="00A2728B"/>
    <w:rsid w:val="00A27A0E"/>
    <w:rsid w:val="00A27A35"/>
    <w:rsid w:val="00A27D36"/>
    <w:rsid w:val="00A30319"/>
    <w:rsid w:val="00A31040"/>
    <w:rsid w:val="00A31923"/>
    <w:rsid w:val="00A32783"/>
    <w:rsid w:val="00A3362B"/>
    <w:rsid w:val="00A340A8"/>
    <w:rsid w:val="00A36C5C"/>
    <w:rsid w:val="00A36CDA"/>
    <w:rsid w:val="00A36E53"/>
    <w:rsid w:val="00A370A6"/>
    <w:rsid w:val="00A37397"/>
    <w:rsid w:val="00A40677"/>
    <w:rsid w:val="00A4098E"/>
    <w:rsid w:val="00A44436"/>
    <w:rsid w:val="00A444E5"/>
    <w:rsid w:val="00A4559A"/>
    <w:rsid w:val="00A46E49"/>
    <w:rsid w:val="00A4708A"/>
    <w:rsid w:val="00A477F0"/>
    <w:rsid w:val="00A5085F"/>
    <w:rsid w:val="00A51E47"/>
    <w:rsid w:val="00A520DD"/>
    <w:rsid w:val="00A521AB"/>
    <w:rsid w:val="00A552E9"/>
    <w:rsid w:val="00A55670"/>
    <w:rsid w:val="00A559FF"/>
    <w:rsid w:val="00A55E21"/>
    <w:rsid w:val="00A56031"/>
    <w:rsid w:val="00A56A3E"/>
    <w:rsid w:val="00A5723C"/>
    <w:rsid w:val="00A618EB"/>
    <w:rsid w:val="00A62035"/>
    <w:rsid w:val="00A6273E"/>
    <w:rsid w:val="00A62D77"/>
    <w:rsid w:val="00A6362E"/>
    <w:rsid w:val="00A6429E"/>
    <w:rsid w:val="00A6444F"/>
    <w:rsid w:val="00A6605B"/>
    <w:rsid w:val="00A665D3"/>
    <w:rsid w:val="00A67AF4"/>
    <w:rsid w:val="00A70049"/>
    <w:rsid w:val="00A703C4"/>
    <w:rsid w:val="00A70900"/>
    <w:rsid w:val="00A712D5"/>
    <w:rsid w:val="00A715FB"/>
    <w:rsid w:val="00A72048"/>
    <w:rsid w:val="00A721EA"/>
    <w:rsid w:val="00A727C1"/>
    <w:rsid w:val="00A728EE"/>
    <w:rsid w:val="00A7463C"/>
    <w:rsid w:val="00A74E5D"/>
    <w:rsid w:val="00A7591C"/>
    <w:rsid w:val="00A76232"/>
    <w:rsid w:val="00A76795"/>
    <w:rsid w:val="00A7686F"/>
    <w:rsid w:val="00A76BC7"/>
    <w:rsid w:val="00A76EE9"/>
    <w:rsid w:val="00A77139"/>
    <w:rsid w:val="00A77AD9"/>
    <w:rsid w:val="00A77FAD"/>
    <w:rsid w:val="00A819D2"/>
    <w:rsid w:val="00A81E87"/>
    <w:rsid w:val="00A83159"/>
    <w:rsid w:val="00A85222"/>
    <w:rsid w:val="00A85276"/>
    <w:rsid w:val="00A8532B"/>
    <w:rsid w:val="00A853C4"/>
    <w:rsid w:val="00A85616"/>
    <w:rsid w:val="00A865A6"/>
    <w:rsid w:val="00A86F3A"/>
    <w:rsid w:val="00A90A65"/>
    <w:rsid w:val="00A90D39"/>
    <w:rsid w:val="00A90EF9"/>
    <w:rsid w:val="00A917B9"/>
    <w:rsid w:val="00A91DB8"/>
    <w:rsid w:val="00A92202"/>
    <w:rsid w:val="00A9349B"/>
    <w:rsid w:val="00A9385D"/>
    <w:rsid w:val="00A9392F"/>
    <w:rsid w:val="00A94371"/>
    <w:rsid w:val="00A94E96"/>
    <w:rsid w:val="00A9507E"/>
    <w:rsid w:val="00A96E19"/>
    <w:rsid w:val="00A972E2"/>
    <w:rsid w:val="00A97A86"/>
    <w:rsid w:val="00AA115A"/>
    <w:rsid w:val="00AA195E"/>
    <w:rsid w:val="00AA1B08"/>
    <w:rsid w:val="00AA1E9B"/>
    <w:rsid w:val="00AA2358"/>
    <w:rsid w:val="00AA236D"/>
    <w:rsid w:val="00AA2569"/>
    <w:rsid w:val="00AA2684"/>
    <w:rsid w:val="00AA2EC7"/>
    <w:rsid w:val="00AA320F"/>
    <w:rsid w:val="00AA3BDA"/>
    <w:rsid w:val="00AA3CC2"/>
    <w:rsid w:val="00AA3F12"/>
    <w:rsid w:val="00AA41EE"/>
    <w:rsid w:val="00AA442E"/>
    <w:rsid w:val="00AA4969"/>
    <w:rsid w:val="00AA5467"/>
    <w:rsid w:val="00AA5DDB"/>
    <w:rsid w:val="00AA60BF"/>
    <w:rsid w:val="00AA66C7"/>
    <w:rsid w:val="00AA69EB"/>
    <w:rsid w:val="00AA6F9D"/>
    <w:rsid w:val="00AB0CDF"/>
    <w:rsid w:val="00AB0F91"/>
    <w:rsid w:val="00AB1560"/>
    <w:rsid w:val="00AB1A83"/>
    <w:rsid w:val="00AB3BBE"/>
    <w:rsid w:val="00AB3E50"/>
    <w:rsid w:val="00AB4428"/>
    <w:rsid w:val="00AB6B8D"/>
    <w:rsid w:val="00AB6C08"/>
    <w:rsid w:val="00AB75D6"/>
    <w:rsid w:val="00AB7879"/>
    <w:rsid w:val="00AC15D7"/>
    <w:rsid w:val="00AC28CE"/>
    <w:rsid w:val="00AC2FBA"/>
    <w:rsid w:val="00AC340A"/>
    <w:rsid w:val="00AC5244"/>
    <w:rsid w:val="00AC65DC"/>
    <w:rsid w:val="00AC6922"/>
    <w:rsid w:val="00AC7047"/>
    <w:rsid w:val="00AD1070"/>
    <w:rsid w:val="00AD1496"/>
    <w:rsid w:val="00AD2939"/>
    <w:rsid w:val="00AD439D"/>
    <w:rsid w:val="00AD47DB"/>
    <w:rsid w:val="00AD4A08"/>
    <w:rsid w:val="00AD541F"/>
    <w:rsid w:val="00AD734B"/>
    <w:rsid w:val="00AE0984"/>
    <w:rsid w:val="00AE129D"/>
    <w:rsid w:val="00AE37DF"/>
    <w:rsid w:val="00AE4173"/>
    <w:rsid w:val="00AE459B"/>
    <w:rsid w:val="00AE4AD1"/>
    <w:rsid w:val="00AE57BD"/>
    <w:rsid w:val="00AE63E4"/>
    <w:rsid w:val="00AE6907"/>
    <w:rsid w:val="00AE77E9"/>
    <w:rsid w:val="00AE7C74"/>
    <w:rsid w:val="00AF1B30"/>
    <w:rsid w:val="00AF29C8"/>
    <w:rsid w:val="00AF2B65"/>
    <w:rsid w:val="00AF2CEC"/>
    <w:rsid w:val="00AF2E08"/>
    <w:rsid w:val="00AF3001"/>
    <w:rsid w:val="00AF3558"/>
    <w:rsid w:val="00AF3EF8"/>
    <w:rsid w:val="00AF4388"/>
    <w:rsid w:val="00AF4BBF"/>
    <w:rsid w:val="00AF4CAF"/>
    <w:rsid w:val="00AF6EDA"/>
    <w:rsid w:val="00AF70F9"/>
    <w:rsid w:val="00B00ADB"/>
    <w:rsid w:val="00B0113E"/>
    <w:rsid w:val="00B011B9"/>
    <w:rsid w:val="00B01D0D"/>
    <w:rsid w:val="00B0232D"/>
    <w:rsid w:val="00B02EC0"/>
    <w:rsid w:val="00B02ED5"/>
    <w:rsid w:val="00B04605"/>
    <w:rsid w:val="00B0489F"/>
    <w:rsid w:val="00B0714A"/>
    <w:rsid w:val="00B079DC"/>
    <w:rsid w:val="00B107AD"/>
    <w:rsid w:val="00B116A4"/>
    <w:rsid w:val="00B1241D"/>
    <w:rsid w:val="00B13C4E"/>
    <w:rsid w:val="00B13CC0"/>
    <w:rsid w:val="00B14C4D"/>
    <w:rsid w:val="00B1526E"/>
    <w:rsid w:val="00B15E76"/>
    <w:rsid w:val="00B174A5"/>
    <w:rsid w:val="00B20601"/>
    <w:rsid w:val="00B20A9A"/>
    <w:rsid w:val="00B21308"/>
    <w:rsid w:val="00B21FBD"/>
    <w:rsid w:val="00B227D0"/>
    <w:rsid w:val="00B22A2A"/>
    <w:rsid w:val="00B2317E"/>
    <w:rsid w:val="00B23DC4"/>
    <w:rsid w:val="00B2400C"/>
    <w:rsid w:val="00B2410F"/>
    <w:rsid w:val="00B25C58"/>
    <w:rsid w:val="00B261DC"/>
    <w:rsid w:val="00B27635"/>
    <w:rsid w:val="00B27F0E"/>
    <w:rsid w:val="00B30AAC"/>
    <w:rsid w:val="00B31181"/>
    <w:rsid w:val="00B31685"/>
    <w:rsid w:val="00B318F9"/>
    <w:rsid w:val="00B3194E"/>
    <w:rsid w:val="00B31C95"/>
    <w:rsid w:val="00B31DC6"/>
    <w:rsid w:val="00B31E13"/>
    <w:rsid w:val="00B323A6"/>
    <w:rsid w:val="00B332FB"/>
    <w:rsid w:val="00B33537"/>
    <w:rsid w:val="00B33803"/>
    <w:rsid w:val="00B35D79"/>
    <w:rsid w:val="00B35D93"/>
    <w:rsid w:val="00B36A2B"/>
    <w:rsid w:val="00B36AE0"/>
    <w:rsid w:val="00B36F35"/>
    <w:rsid w:val="00B37689"/>
    <w:rsid w:val="00B37F12"/>
    <w:rsid w:val="00B405DF"/>
    <w:rsid w:val="00B40F52"/>
    <w:rsid w:val="00B424AB"/>
    <w:rsid w:val="00B4308B"/>
    <w:rsid w:val="00B437E7"/>
    <w:rsid w:val="00B448AF"/>
    <w:rsid w:val="00B44BCE"/>
    <w:rsid w:val="00B4543F"/>
    <w:rsid w:val="00B458A0"/>
    <w:rsid w:val="00B46869"/>
    <w:rsid w:val="00B47368"/>
    <w:rsid w:val="00B50542"/>
    <w:rsid w:val="00B51403"/>
    <w:rsid w:val="00B51730"/>
    <w:rsid w:val="00B51C4F"/>
    <w:rsid w:val="00B52245"/>
    <w:rsid w:val="00B52F7E"/>
    <w:rsid w:val="00B53627"/>
    <w:rsid w:val="00B53639"/>
    <w:rsid w:val="00B5380B"/>
    <w:rsid w:val="00B54B4C"/>
    <w:rsid w:val="00B54BDC"/>
    <w:rsid w:val="00B55D90"/>
    <w:rsid w:val="00B57C9B"/>
    <w:rsid w:val="00B57CB7"/>
    <w:rsid w:val="00B607CA"/>
    <w:rsid w:val="00B60D71"/>
    <w:rsid w:val="00B60EC4"/>
    <w:rsid w:val="00B610B1"/>
    <w:rsid w:val="00B622A7"/>
    <w:rsid w:val="00B62869"/>
    <w:rsid w:val="00B63827"/>
    <w:rsid w:val="00B63AF5"/>
    <w:rsid w:val="00B65231"/>
    <w:rsid w:val="00B658D1"/>
    <w:rsid w:val="00B65927"/>
    <w:rsid w:val="00B66048"/>
    <w:rsid w:val="00B66B4E"/>
    <w:rsid w:val="00B66BBA"/>
    <w:rsid w:val="00B7130E"/>
    <w:rsid w:val="00B714B2"/>
    <w:rsid w:val="00B715E3"/>
    <w:rsid w:val="00B72F24"/>
    <w:rsid w:val="00B73293"/>
    <w:rsid w:val="00B7367C"/>
    <w:rsid w:val="00B73E0D"/>
    <w:rsid w:val="00B74311"/>
    <w:rsid w:val="00B7468E"/>
    <w:rsid w:val="00B7483D"/>
    <w:rsid w:val="00B74DAC"/>
    <w:rsid w:val="00B75607"/>
    <w:rsid w:val="00B758BE"/>
    <w:rsid w:val="00B7593D"/>
    <w:rsid w:val="00B766D7"/>
    <w:rsid w:val="00B775D0"/>
    <w:rsid w:val="00B77C3D"/>
    <w:rsid w:val="00B77F39"/>
    <w:rsid w:val="00B814A7"/>
    <w:rsid w:val="00B81508"/>
    <w:rsid w:val="00B817C6"/>
    <w:rsid w:val="00B83425"/>
    <w:rsid w:val="00B87157"/>
    <w:rsid w:val="00B87B91"/>
    <w:rsid w:val="00B903B1"/>
    <w:rsid w:val="00B91533"/>
    <w:rsid w:val="00B91FE7"/>
    <w:rsid w:val="00B92629"/>
    <w:rsid w:val="00B93F48"/>
    <w:rsid w:val="00B94654"/>
    <w:rsid w:val="00B95595"/>
    <w:rsid w:val="00B95A9F"/>
    <w:rsid w:val="00B96E4E"/>
    <w:rsid w:val="00B97358"/>
    <w:rsid w:val="00B97D51"/>
    <w:rsid w:val="00BA0755"/>
    <w:rsid w:val="00BA092C"/>
    <w:rsid w:val="00BA0AA1"/>
    <w:rsid w:val="00BA0CF5"/>
    <w:rsid w:val="00BA1794"/>
    <w:rsid w:val="00BA1DBD"/>
    <w:rsid w:val="00BA43D7"/>
    <w:rsid w:val="00BA4774"/>
    <w:rsid w:val="00BA494F"/>
    <w:rsid w:val="00BA4D48"/>
    <w:rsid w:val="00BA4FDD"/>
    <w:rsid w:val="00BA502C"/>
    <w:rsid w:val="00BA550A"/>
    <w:rsid w:val="00BA5521"/>
    <w:rsid w:val="00BA5DA0"/>
    <w:rsid w:val="00BA78A2"/>
    <w:rsid w:val="00BA78A4"/>
    <w:rsid w:val="00BB03EA"/>
    <w:rsid w:val="00BB06DE"/>
    <w:rsid w:val="00BB0DBC"/>
    <w:rsid w:val="00BB1032"/>
    <w:rsid w:val="00BB2CBA"/>
    <w:rsid w:val="00BB3C44"/>
    <w:rsid w:val="00BB4CC1"/>
    <w:rsid w:val="00BB4E8F"/>
    <w:rsid w:val="00BB5BA2"/>
    <w:rsid w:val="00BB6012"/>
    <w:rsid w:val="00BB63B8"/>
    <w:rsid w:val="00BB707D"/>
    <w:rsid w:val="00BB74DC"/>
    <w:rsid w:val="00BB7893"/>
    <w:rsid w:val="00BB79F3"/>
    <w:rsid w:val="00BB79FE"/>
    <w:rsid w:val="00BC22CD"/>
    <w:rsid w:val="00BC2426"/>
    <w:rsid w:val="00BC30D5"/>
    <w:rsid w:val="00BC36C9"/>
    <w:rsid w:val="00BC3B90"/>
    <w:rsid w:val="00BC42B6"/>
    <w:rsid w:val="00BC462A"/>
    <w:rsid w:val="00BC4DF2"/>
    <w:rsid w:val="00BC51EE"/>
    <w:rsid w:val="00BC525E"/>
    <w:rsid w:val="00BC6485"/>
    <w:rsid w:val="00BC65C1"/>
    <w:rsid w:val="00BC718F"/>
    <w:rsid w:val="00BC737D"/>
    <w:rsid w:val="00BC73CC"/>
    <w:rsid w:val="00BC7593"/>
    <w:rsid w:val="00BC75DE"/>
    <w:rsid w:val="00BC7661"/>
    <w:rsid w:val="00BC766C"/>
    <w:rsid w:val="00BD024C"/>
    <w:rsid w:val="00BD0544"/>
    <w:rsid w:val="00BD0616"/>
    <w:rsid w:val="00BD0F32"/>
    <w:rsid w:val="00BD17EB"/>
    <w:rsid w:val="00BD2861"/>
    <w:rsid w:val="00BD4E8D"/>
    <w:rsid w:val="00BD5084"/>
    <w:rsid w:val="00BD51A6"/>
    <w:rsid w:val="00BD5C83"/>
    <w:rsid w:val="00BD6270"/>
    <w:rsid w:val="00BD696F"/>
    <w:rsid w:val="00BD793F"/>
    <w:rsid w:val="00BE045C"/>
    <w:rsid w:val="00BE1769"/>
    <w:rsid w:val="00BE2259"/>
    <w:rsid w:val="00BE34A4"/>
    <w:rsid w:val="00BE3A4B"/>
    <w:rsid w:val="00BE3DED"/>
    <w:rsid w:val="00BE41B0"/>
    <w:rsid w:val="00BE425D"/>
    <w:rsid w:val="00BE4723"/>
    <w:rsid w:val="00BE4BCF"/>
    <w:rsid w:val="00BE5430"/>
    <w:rsid w:val="00BE6735"/>
    <w:rsid w:val="00BE799D"/>
    <w:rsid w:val="00BF10F2"/>
    <w:rsid w:val="00BF112C"/>
    <w:rsid w:val="00BF158F"/>
    <w:rsid w:val="00BF2AC8"/>
    <w:rsid w:val="00BF33B3"/>
    <w:rsid w:val="00BF3491"/>
    <w:rsid w:val="00BF4EA8"/>
    <w:rsid w:val="00BF51D5"/>
    <w:rsid w:val="00BF5310"/>
    <w:rsid w:val="00BF5887"/>
    <w:rsid w:val="00BF7D38"/>
    <w:rsid w:val="00C003C5"/>
    <w:rsid w:val="00C00952"/>
    <w:rsid w:val="00C0150E"/>
    <w:rsid w:val="00C016F2"/>
    <w:rsid w:val="00C01E65"/>
    <w:rsid w:val="00C01EE3"/>
    <w:rsid w:val="00C01FD9"/>
    <w:rsid w:val="00C023AC"/>
    <w:rsid w:val="00C025FE"/>
    <w:rsid w:val="00C03262"/>
    <w:rsid w:val="00C03B10"/>
    <w:rsid w:val="00C05704"/>
    <w:rsid w:val="00C05898"/>
    <w:rsid w:val="00C05937"/>
    <w:rsid w:val="00C060CA"/>
    <w:rsid w:val="00C0662D"/>
    <w:rsid w:val="00C068D0"/>
    <w:rsid w:val="00C070B0"/>
    <w:rsid w:val="00C072D6"/>
    <w:rsid w:val="00C072DA"/>
    <w:rsid w:val="00C10AB4"/>
    <w:rsid w:val="00C10E5C"/>
    <w:rsid w:val="00C114AA"/>
    <w:rsid w:val="00C1161B"/>
    <w:rsid w:val="00C11DF8"/>
    <w:rsid w:val="00C12B19"/>
    <w:rsid w:val="00C1569C"/>
    <w:rsid w:val="00C1584D"/>
    <w:rsid w:val="00C15E99"/>
    <w:rsid w:val="00C16D71"/>
    <w:rsid w:val="00C17E70"/>
    <w:rsid w:val="00C17FDE"/>
    <w:rsid w:val="00C21933"/>
    <w:rsid w:val="00C23094"/>
    <w:rsid w:val="00C25FF4"/>
    <w:rsid w:val="00C26AB8"/>
    <w:rsid w:val="00C26C08"/>
    <w:rsid w:val="00C27473"/>
    <w:rsid w:val="00C2752E"/>
    <w:rsid w:val="00C30171"/>
    <w:rsid w:val="00C30390"/>
    <w:rsid w:val="00C30AAD"/>
    <w:rsid w:val="00C313EB"/>
    <w:rsid w:val="00C335D4"/>
    <w:rsid w:val="00C335F0"/>
    <w:rsid w:val="00C33A8D"/>
    <w:rsid w:val="00C33BF0"/>
    <w:rsid w:val="00C3451D"/>
    <w:rsid w:val="00C3470C"/>
    <w:rsid w:val="00C351DF"/>
    <w:rsid w:val="00C35D1E"/>
    <w:rsid w:val="00C36CE0"/>
    <w:rsid w:val="00C37471"/>
    <w:rsid w:val="00C37503"/>
    <w:rsid w:val="00C37D5C"/>
    <w:rsid w:val="00C4222D"/>
    <w:rsid w:val="00C42476"/>
    <w:rsid w:val="00C436B0"/>
    <w:rsid w:val="00C4449D"/>
    <w:rsid w:val="00C45655"/>
    <w:rsid w:val="00C45742"/>
    <w:rsid w:val="00C45768"/>
    <w:rsid w:val="00C4641D"/>
    <w:rsid w:val="00C466EA"/>
    <w:rsid w:val="00C46A13"/>
    <w:rsid w:val="00C475EC"/>
    <w:rsid w:val="00C50E1F"/>
    <w:rsid w:val="00C5126D"/>
    <w:rsid w:val="00C515BB"/>
    <w:rsid w:val="00C51D76"/>
    <w:rsid w:val="00C52127"/>
    <w:rsid w:val="00C522F9"/>
    <w:rsid w:val="00C528C0"/>
    <w:rsid w:val="00C52A14"/>
    <w:rsid w:val="00C52A71"/>
    <w:rsid w:val="00C52EFB"/>
    <w:rsid w:val="00C538D6"/>
    <w:rsid w:val="00C53972"/>
    <w:rsid w:val="00C5415C"/>
    <w:rsid w:val="00C54940"/>
    <w:rsid w:val="00C55437"/>
    <w:rsid w:val="00C55DC0"/>
    <w:rsid w:val="00C55F19"/>
    <w:rsid w:val="00C56131"/>
    <w:rsid w:val="00C56272"/>
    <w:rsid w:val="00C5634F"/>
    <w:rsid w:val="00C569DC"/>
    <w:rsid w:val="00C57594"/>
    <w:rsid w:val="00C607C4"/>
    <w:rsid w:val="00C60AD9"/>
    <w:rsid w:val="00C60E0D"/>
    <w:rsid w:val="00C61A86"/>
    <w:rsid w:val="00C61D3B"/>
    <w:rsid w:val="00C61D4B"/>
    <w:rsid w:val="00C634D0"/>
    <w:rsid w:val="00C635BE"/>
    <w:rsid w:val="00C63B9F"/>
    <w:rsid w:val="00C654EB"/>
    <w:rsid w:val="00C6598A"/>
    <w:rsid w:val="00C66545"/>
    <w:rsid w:val="00C71F4C"/>
    <w:rsid w:val="00C73006"/>
    <w:rsid w:val="00C730EB"/>
    <w:rsid w:val="00C74624"/>
    <w:rsid w:val="00C7467B"/>
    <w:rsid w:val="00C7538A"/>
    <w:rsid w:val="00C75794"/>
    <w:rsid w:val="00C75B04"/>
    <w:rsid w:val="00C75D74"/>
    <w:rsid w:val="00C765EC"/>
    <w:rsid w:val="00C77A72"/>
    <w:rsid w:val="00C77D0B"/>
    <w:rsid w:val="00C803CD"/>
    <w:rsid w:val="00C80649"/>
    <w:rsid w:val="00C82BE4"/>
    <w:rsid w:val="00C8341A"/>
    <w:rsid w:val="00C841A3"/>
    <w:rsid w:val="00C84363"/>
    <w:rsid w:val="00C85927"/>
    <w:rsid w:val="00C85A83"/>
    <w:rsid w:val="00C8619D"/>
    <w:rsid w:val="00C864AD"/>
    <w:rsid w:val="00C87190"/>
    <w:rsid w:val="00C87574"/>
    <w:rsid w:val="00C900D1"/>
    <w:rsid w:val="00C9037F"/>
    <w:rsid w:val="00C905FC"/>
    <w:rsid w:val="00C909F5"/>
    <w:rsid w:val="00C90EFC"/>
    <w:rsid w:val="00C914B8"/>
    <w:rsid w:val="00C9176D"/>
    <w:rsid w:val="00C91C25"/>
    <w:rsid w:val="00C91D3F"/>
    <w:rsid w:val="00C92A10"/>
    <w:rsid w:val="00C936D8"/>
    <w:rsid w:val="00C94465"/>
    <w:rsid w:val="00C95055"/>
    <w:rsid w:val="00C95198"/>
    <w:rsid w:val="00C95592"/>
    <w:rsid w:val="00C95B5F"/>
    <w:rsid w:val="00C95CB3"/>
    <w:rsid w:val="00C969B8"/>
    <w:rsid w:val="00C97456"/>
    <w:rsid w:val="00C9745F"/>
    <w:rsid w:val="00CA238F"/>
    <w:rsid w:val="00CA2B03"/>
    <w:rsid w:val="00CA3101"/>
    <w:rsid w:val="00CA3325"/>
    <w:rsid w:val="00CA4CD0"/>
    <w:rsid w:val="00CA58C2"/>
    <w:rsid w:val="00CA5F5D"/>
    <w:rsid w:val="00CA62ED"/>
    <w:rsid w:val="00CA6839"/>
    <w:rsid w:val="00CA694B"/>
    <w:rsid w:val="00CA6E15"/>
    <w:rsid w:val="00CA6ECF"/>
    <w:rsid w:val="00CA7929"/>
    <w:rsid w:val="00CA7D88"/>
    <w:rsid w:val="00CA7F37"/>
    <w:rsid w:val="00CB178D"/>
    <w:rsid w:val="00CB1EB7"/>
    <w:rsid w:val="00CB28E2"/>
    <w:rsid w:val="00CB2B24"/>
    <w:rsid w:val="00CB37A2"/>
    <w:rsid w:val="00CB37F8"/>
    <w:rsid w:val="00CB3BA8"/>
    <w:rsid w:val="00CB3F2E"/>
    <w:rsid w:val="00CB5929"/>
    <w:rsid w:val="00CB69CC"/>
    <w:rsid w:val="00CB6BCF"/>
    <w:rsid w:val="00CB6FDC"/>
    <w:rsid w:val="00CB73C3"/>
    <w:rsid w:val="00CB7AEC"/>
    <w:rsid w:val="00CC01BC"/>
    <w:rsid w:val="00CC0B6B"/>
    <w:rsid w:val="00CC0F65"/>
    <w:rsid w:val="00CC11FB"/>
    <w:rsid w:val="00CC150A"/>
    <w:rsid w:val="00CC1BD7"/>
    <w:rsid w:val="00CC25CC"/>
    <w:rsid w:val="00CC3407"/>
    <w:rsid w:val="00CC3A03"/>
    <w:rsid w:val="00CC47D0"/>
    <w:rsid w:val="00CC48AA"/>
    <w:rsid w:val="00CC4D16"/>
    <w:rsid w:val="00CC6F1F"/>
    <w:rsid w:val="00CC6F57"/>
    <w:rsid w:val="00CC7687"/>
    <w:rsid w:val="00CC7BB2"/>
    <w:rsid w:val="00CD0222"/>
    <w:rsid w:val="00CD0A5B"/>
    <w:rsid w:val="00CD0CD4"/>
    <w:rsid w:val="00CD12E2"/>
    <w:rsid w:val="00CD197D"/>
    <w:rsid w:val="00CD1B87"/>
    <w:rsid w:val="00CD2309"/>
    <w:rsid w:val="00CD246D"/>
    <w:rsid w:val="00CD24BB"/>
    <w:rsid w:val="00CD3778"/>
    <w:rsid w:val="00CD3E8E"/>
    <w:rsid w:val="00CD4B66"/>
    <w:rsid w:val="00CD4F3D"/>
    <w:rsid w:val="00CD4F7C"/>
    <w:rsid w:val="00CD551C"/>
    <w:rsid w:val="00CD5E86"/>
    <w:rsid w:val="00CD5FA3"/>
    <w:rsid w:val="00CD6261"/>
    <w:rsid w:val="00CD6DC1"/>
    <w:rsid w:val="00CE00AD"/>
    <w:rsid w:val="00CE0CE0"/>
    <w:rsid w:val="00CE1333"/>
    <w:rsid w:val="00CE1896"/>
    <w:rsid w:val="00CE1A10"/>
    <w:rsid w:val="00CE21C4"/>
    <w:rsid w:val="00CE2213"/>
    <w:rsid w:val="00CE2F83"/>
    <w:rsid w:val="00CE39D5"/>
    <w:rsid w:val="00CE53C1"/>
    <w:rsid w:val="00CE5B93"/>
    <w:rsid w:val="00CE5DEC"/>
    <w:rsid w:val="00CE69D7"/>
    <w:rsid w:val="00CE6E39"/>
    <w:rsid w:val="00CE713D"/>
    <w:rsid w:val="00CE763F"/>
    <w:rsid w:val="00CE7BA5"/>
    <w:rsid w:val="00CE7CE5"/>
    <w:rsid w:val="00CE7F25"/>
    <w:rsid w:val="00CF0497"/>
    <w:rsid w:val="00CF06E9"/>
    <w:rsid w:val="00CF08DA"/>
    <w:rsid w:val="00CF0BDF"/>
    <w:rsid w:val="00CF14E4"/>
    <w:rsid w:val="00CF1825"/>
    <w:rsid w:val="00CF3C28"/>
    <w:rsid w:val="00CF3D0F"/>
    <w:rsid w:val="00CF52FE"/>
    <w:rsid w:val="00CF6CC9"/>
    <w:rsid w:val="00CF7CB5"/>
    <w:rsid w:val="00D005AF"/>
    <w:rsid w:val="00D01081"/>
    <w:rsid w:val="00D01612"/>
    <w:rsid w:val="00D01819"/>
    <w:rsid w:val="00D01C7D"/>
    <w:rsid w:val="00D0313C"/>
    <w:rsid w:val="00D0330F"/>
    <w:rsid w:val="00D03DF2"/>
    <w:rsid w:val="00D0479C"/>
    <w:rsid w:val="00D04E94"/>
    <w:rsid w:val="00D05809"/>
    <w:rsid w:val="00D0645A"/>
    <w:rsid w:val="00D06728"/>
    <w:rsid w:val="00D06CC0"/>
    <w:rsid w:val="00D10749"/>
    <w:rsid w:val="00D10CBA"/>
    <w:rsid w:val="00D11FDA"/>
    <w:rsid w:val="00D126B6"/>
    <w:rsid w:val="00D13E3D"/>
    <w:rsid w:val="00D140B0"/>
    <w:rsid w:val="00D14479"/>
    <w:rsid w:val="00D14C4B"/>
    <w:rsid w:val="00D14EE1"/>
    <w:rsid w:val="00D15592"/>
    <w:rsid w:val="00D17B26"/>
    <w:rsid w:val="00D17BD2"/>
    <w:rsid w:val="00D20FBB"/>
    <w:rsid w:val="00D22CDF"/>
    <w:rsid w:val="00D230F6"/>
    <w:rsid w:val="00D235DB"/>
    <w:rsid w:val="00D2480D"/>
    <w:rsid w:val="00D24BFA"/>
    <w:rsid w:val="00D24DCD"/>
    <w:rsid w:val="00D253CE"/>
    <w:rsid w:val="00D2587E"/>
    <w:rsid w:val="00D268F0"/>
    <w:rsid w:val="00D26BFE"/>
    <w:rsid w:val="00D2706D"/>
    <w:rsid w:val="00D275B0"/>
    <w:rsid w:val="00D276B9"/>
    <w:rsid w:val="00D27E52"/>
    <w:rsid w:val="00D305C7"/>
    <w:rsid w:val="00D3264A"/>
    <w:rsid w:val="00D336B3"/>
    <w:rsid w:val="00D34217"/>
    <w:rsid w:val="00D343FF"/>
    <w:rsid w:val="00D3446C"/>
    <w:rsid w:val="00D34665"/>
    <w:rsid w:val="00D34699"/>
    <w:rsid w:val="00D36803"/>
    <w:rsid w:val="00D36A4E"/>
    <w:rsid w:val="00D37710"/>
    <w:rsid w:val="00D41C77"/>
    <w:rsid w:val="00D41CEB"/>
    <w:rsid w:val="00D41DBE"/>
    <w:rsid w:val="00D422C6"/>
    <w:rsid w:val="00D42644"/>
    <w:rsid w:val="00D427A6"/>
    <w:rsid w:val="00D43AB1"/>
    <w:rsid w:val="00D45320"/>
    <w:rsid w:val="00D458A0"/>
    <w:rsid w:val="00D45CB7"/>
    <w:rsid w:val="00D460E5"/>
    <w:rsid w:val="00D466F0"/>
    <w:rsid w:val="00D4712E"/>
    <w:rsid w:val="00D5155B"/>
    <w:rsid w:val="00D51725"/>
    <w:rsid w:val="00D518CA"/>
    <w:rsid w:val="00D51DF2"/>
    <w:rsid w:val="00D5398C"/>
    <w:rsid w:val="00D54B31"/>
    <w:rsid w:val="00D54CC7"/>
    <w:rsid w:val="00D55810"/>
    <w:rsid w:val="00D55A42"/>
    <w:rsid w:val="00D56883"/>
    <w:rsid w:val="00D56ECA"/>
    <w:rsid w:val="00D601FF"/>
    <w:rsid w:val="00D604F3"/>
    <w:rsid w:val="00D609E4"/>
    <w:rsid w:val="00D61AB0"/>
    <w:rsid w:val="00D61C62"/>
    <w:rsid w:val="00D622D0"/>
    <w:rsid w:val="00D62C5B"/>
    <w:rsid w:val="00D630F4"/>
    <w:rsid w:val="00D631D2"/>
    <w:rsid w:val="00D632EF"/>
    <w:rsid w:val="00D6354C"/>
    <w:rsid w:val="00D63F04"/>
    <w:rsid w:val="00D64ACA"/>
    <w:rsid w:val="00D64F5C"/>
    <w:rsid w:val="00D65208"/>
    <w:rsid w:val="00D6589A"/>
    <w:rsid w:val="00D67FF1"/>
    <w:rsid w:val="00D700BE"/>
    <w:rsid w:val="00D70289"/>
    <w:rsid w:val="00D70895"/>
    <w:rsid w:val="00D71C44"/>
    <w:rsid w:val="00D72124"/>
    <w:rsid w:val="00D72417"/>
    <w:rsid w:val="00D7244A"/>
    <w:rsid w:val="00D7298A"/>
    <w:rsid w:val="00D72F75"/>
    <w:rsid w:val="00D7350A"/>
    <w:rsid w:val="00D735BD"/>
    <w:rsid w:val="00D73B82"/>
    <w:rsid w:val="00D74297"/>
    <w:rsid w:val="00D74919"/>
    <w:rsid w:val="00D7538F"/>
    <w:rsid w:val="00D7629D"/>
    <w:rsid w:val="00D772FE"/>
    <w:rsid w:val="00D7799C"/>
    <w:rsid w:val="00D77BE0"/>
    <w:rsid w:val="00D77D02"/>
    <w:rsid w:val="00D80202"/>
    <w:rsid w:val="00D8057E"/>
    <w:rsid w:val="00D80683"/>
    <w:rsid w:val="00D809E0"/>
    <w:rsid w:val="00D812F6"/>
    <w:rsid w:val="00D829BD"/>
    <w:rsid w:val="00D83205"/>
    <w:rsid w:val="00D83ED0"/>
    <w:rsid w:val="00D84790"/>
    <w:rsid w:val="00D84F64"/>
    <w:rsid w:val="00D85C71"/>
    <w:rsid w:val="00D86CCF"/>
    <w:rsid w:val="00D871AE"/>
    <w:rsid w:val="00D878A0"/>
    <w:rsid w:val="00D9086D"/>
    <w:rsid w:val="00D90CAD"/>
    <w:rsid w:val="00D91361"/>
    <w:rsid w:val="00D91B69"/>
    <w:rsid w:val="00D91EE4"/>
    <w:rsid w:val="00D9233E"/>
    <w:rsid w:val="00D923A9"/>
    <w:rsid w:val="00D92FD8"/>
    <w:rsid w:val="00D944F0"/>
    <w:rsid w:val="00D94EE2"/>
    <w:rsid w:val="00D95527"/>
    <w:rsid w:val="00D95BFF"/>
    <w:rsid w:val="00D95D39"/>
    <w:rsid w:val="00D95DF3"/>
    <w:rsid w:val="00D95E82"/>
    <w:rsid w:val="00D9750D"/>
    <w:rsid w:val="00D97541"/>
    <w:rsid w:val="00D979D7"/>
    <w:rsid w:val="00D97ADA"/>
    <w:rsid w:val="00DA1876"/>
    <w:rsid w:val="00DA22A6"/>
    <w:rsid w:val="00DA2609"/>
    <w:rsid w:val="00DA2F42"/>
    <w:rsid w:val="00DA3544"/>
    <w:rsid w:val="00DA472C"/>
    <w:rsid w:val="00DA4972"/>
    <w:rsid w:val="00DA4DDB"/>
    <w:rsid w:val="00DA6B44"/>
    <w:rsid w:val="00DA6BB1"/>
    <w:rsid w:val="00DA6DDA"/>
    <w:rsid w:val="00DA6E71"/>
    <w:rsid w:val="00DA7562"/>
    <w:rsid w:val="00DB0F17"/>
    <w:rsid w:val="00DB1A66"/>
    <w:rsid w:val="00DB1EAE"/>
    <w:rsid w:val="00DB237F"/>
    <w:rsid w:val="00DB23A9"/>
    <w:rsid w:val="00DB3328"/>
    <w:rsid w:val="00DB3E04"/>
    <w:rsid w:val="00DB40BE"/>
    <w:rsid w:val="00DB43DC"/>
    <w:rsid w:val="00DB4E0A"/>
    <w:rsid w:val="00DB4E40"/>
    <w:rsid w:val="00DB617F"/>
    <w:rsid w:val="00DB67C1"/>
    <w:rsid w:val="00DB6B5E"/>
    <w:rsid w:val="00DB6F57"/>
    <w:rsid w:val="00DB7EFA"/>
    <w:rsid w:val="00DC101A"/>
    <w:rsid w:val="00DC179D"/>
    <w:rsid w:val="00DC1E94"/>
    <w:rsid w:val="00DC24C4"/>
    <w:rsid w:val="00DC2965"/>
    <w:rsid w:val="00DC46C3"/>
    <w:rsid w:val="00DC5502"/>
    <w:rsid w:val="00DC57C8"/>
    <w:rsid w:val="00DC66E8"/>
    <w:rsid w:val="00DC6918"/>
    <w:rsid w:val="00DC6BE5"/>
    <w:rsid w:val="00DC728B"/>
    <w:rsid w:val="00DD0897"/>
    <w:rsid w:val="00DD1ADD"/>
    <w:rsid w:val="00DD234A"/>
    <w:rsid w:val="00DD2CEE"/>
    <w:rsid w:val="00DD32AE"/>
    <w:rsid w:val="00DD3668"/>
    <w:rsid w:val="00DD3FA7"/>
    <w:rsid w:val="00DD4A0C"/>
    <w:rsid w:val="00DD5105"/>
    <w:rsid w:val="00DD6C5D"/>
    <w:rsid w:val="00DD7236"/>
    <w:rsid w:val="00DD7BAB"/>
    <w:rsid w:val="00DD7CB6"/>
    <w:rsid w:val="00DD7F7B"/>
    <w:rsid w:val="00DD7F7F"/>
    <w:rsid w:val="00DE04AF"/>
    <w:rsid w:val="00DE0567"/>
    <w:rsid w:val="00DE05AB"/>
    <w:rsid w:val="00DE08CF"/>
    <w:rsid w:val="00DE0E9F"/>
    <w:rsid w:val="00DE1FF4"/>
    <w:rsid w:val="00DE2B68"/>
    <w:rsid w:val="00DE3876"/>
    <w:rsid w:val="00DE39F1"/>
    <w:rsid w:val="00DE3DF7"/>
    <w:rsid w:val="00DE4319"/>
    <w:rsid w:val="00DE4952"/>
    <w:rsid w:val="00DE49F4"/>
    <w:rsid w:val="00DE4A9C"/>
    <w:rsid w:val="00DE55AF"/>
    <w:rsid w:val="00DE6E1A"/>
    <w:rsid w:val="00DE7653"/>
    <w:rsid w:val="00DE7772"/>
    <w:rsid w:val="00DE78B0"/>
    <w:rsid w:val="00DE7953"/>
    <w:rsid w:val="00DE7A73"/>
    <w:rsid w:val="00DF0B3D"/>
    <w:rsid w:val="00DF1F2D"/>
    <w:rsid w:val="00DF1FA4"/>
    <w:rsid w:val="00DF277B"/>
    <w:rsid w:val="00DF41C8"/>
    <w:rsid w:val="00DF436A"/>
    <w:rsid w:val="00DF4418"/>
    <w:rsid w:val="00DF4B5E"/>
    <w:rsid w:val="00DF4D2B"/>
    <w:rsid w:val="00DF67B4"/>
    <w:rsid w:val="00DF7229"/>
    <w:rsid w:val="00DF75B7"/>
    <w:rsid w:val="00DF7A44"/>
    <w:rsid w:val="00DF7C7E"/>
    <w:rsid w:val="00DF7EDC"/>
    <w:rsid w:val="00E006AD"/>
    <w:rsid w:val="00E01934"/>
    <w:rsid w:val="00E025EC"/>
    <w:rsid w:val="00E029CD"/>
    <w:rsid w:val="00E02FBE"/>
    <w:rsid w:val="00E03952"/>
    <w:rsid w:val="00E03A6D"/>
    <w:rsid w:val="00E03B4D"/>
    <w:rsid w:val="00E03F72"/>
    <w:rsid w:val="00E0452F"/>
    <w:rsid w:val="00E06E56"/>
    <w:rsid w:val="00E06E91"/>
    <w:rsid w:val="00E07EAD"/>
    <w:rsid w:val="00E10C37"/>
    <w:rsid w:val="00E11D9E"/>
    <w:rsid w:val="00E12809"/>
    <w:rsid w:val="00E136FB"/>
    <w:rsid w:val="00E13988"/>
    <w:rsid w:val="00E13AFC"/>
    <w:rsid w:val="00E1552B"/>
    <w:rsid w:val="00E16103"/>
    <w:rsid w:val="00E1610E"/>
    <w:rsid w:val="00E16139"/>
    <w:rsid w:val="00E16AB7"/>
    <w:rsid w:val="00E2017C"/>
    <w:rsid w:val="00E2376E"/>
    <w:rsid w:val="00E24B77"/>
    <w:rsid w:val="00E24DF9"/>
    <w:rsid w:val="00E26EA1"/>
    <w:rsid w:val="00E2743E"/>
    <w:rsid w:val="00E307F8"/>
    <w:rsid w:val="00E31BF7"/>
    <w:rsid w:val="00E31DC8"/>
    <w:rsid w:val="00E321D8"/>
    <w:rsid w:val="00E32215"/>
    <w:rsid w:val="00E32AD7"/>
    <w:rsid w:val="00E33097"/>
    <w:rsid w:val="00E33A02"/>
    <w:rsid w:val="00E36053"/>
    <w:rsid w:val="00E36197"/>
    <w:rsid w:val="00E361A0"/>
    <w:rsid w:val="00E36A9D"/>
    <w:rsid w:val="00E37667"/>
    <w:rsid w:val="00E4071C"/>
    <w:rsid w:val="00E409A5"/>
    <w:rsid w:val="00E40C0A"/>
    <w:rsid w:val="00E4143E"/>
    <w:rsid w:val="00E419E2"/>
    <w:rsid w:val="00E41F94"/>
    <w:rsid w:val="00E4322A"/>
    <w:rsid w:val="00E43471"/>
    <w:rsid w:val="00E4372F"/>
    <w:rsid w:val="00E44488"/>
    <w:rsid w:val="00E446EB"/>
    <w:rsid w:val="00E44D2D"/>
    <w:rsid w:val="00E45535"/>
    <w:rsid w:val="00E45B89"/>
    <w:rsid w:val="00E4652E"/>
    <w:rsid w:val="00E46BF0"/>
    <w:rsid w:val="00E46F02"/>
    <w:rsid w:val="00E46FC9"/>
    <w:rsid w:val="00E51613"/>
    <w:rsid w:val="00E51B0C"/>
    <w:rsid w:val="00E51F7F"/>
    <w:rsid w:val="00E5274C"/>
    <w:rsid w:val="00E528DE"/>
    <w:rsid w:val="00E52E04"/>
    <w:rsid w:val="00E53B7F"/>
    <w:rsid w:val="00E53F6D"/>
    <w:rsid w:val="00E54833"/>
    <w:rsid w:val="00E54867"/>
    <w:rsid w:val="00E54C3A"/>
    <w:rsid w:val="00E55612"/>
    <w:rsid w:val="00E55713"/>
    <w:rsid w:val="00E55EFD"/>
    <w:rsid w:val="00E56A18"/>
    <w:rsid w:val="00E57501"/>
    <w:rsid w:val="00E609B2"/>
    <w:rsid w:val="00E60CFA"/>
    <w:rsid w:val="00E6103C"/>
    <w:rsid w:val="00E61585"/>
    <w:rsid w:val="00E620C5"/>
    <w:rsid w:val="00E636D9"/>
    <w:rsid w:val="00E65C07"/>
    <w:rsid w:val="00E65E11"/>
    <w:rsid w:val="00E67130"/>
    <w:rsid w:val="00E678D2"/>
    <w:rsid w:val="00E67E1A"/>
    <w:rsid w:val="00E70017"/>
    <w:rsid w:val="00E701B8"/>
    <w:rsid w:val="00E72641"/>
    <w:rsid w:val="00E72680"/>
    <w:rsid w:val="00E728FD"/>
    <w:rsid w:val="00E72CB9"/>
    <w:rsid w:val="00E73DDE"/>
    <w:rsid w:val="00E744BB"/>
    <w:rsid w:val="00E752B3"/>
    <w:rsid w:val="00E76794"/>
    <w:rsid w:val="00E773A2"/>
    <w:rsid w:val="00E77F08"/>
    <w:rsid w:val="00E8022C"/>
    <w:rsid w:val="00E80675"/>
    <w:rsid w:val="00E80B49"/>
    <w:rsid w:val="00E824A3"/>
    <w:rsid w:val="00E82AC5"/>
    <w:rsid w:val="00E8337D"/>
    <w:rsid w:val="00E833BD"/>
    <w:rsid w:val="00E85199"/>
    <w:rsid w:val="00E85C39"/>
    <w:rsid w:val="00E86168"/>
    <w:rsid w:val="00E8629F"/>
    <w:rsid w:val="00E86714"/>
    <w:rsid w:val="00E86FB8"/>
    <w:rsid w:val="00E870AA"/>
    <w:rsid w:val="00E91395"/>
    <w:rsid w:val="00E916B2"/>
    <w:rsid w:val="00E92874"/>
    <w:rsid w:val="00E930E4"/>
    <w:rsid w:val="00E93552"/>
    <w:rsid w:val="00E939C2"/>
    <w:rsid w:val="00E93C26"/>
    <w:rsid w:val="00E93D1D"/>
    <w:rsid w:val="00E942B1"/>
    <w:rsid w:val="00E94919"/>
    <w:rsid w:val="00E94AFE"/>
    <w:rsid w:val="00E94B23"/>
    <w:rsid w:val="00E95F34"/>
    <w:rsid w:val="00E961B3"/>
    <w:rsid w:val="00E968C7"/>
    <w:rsid w:val="00E9747D"/>
    <w:rsid w:val="00E97802"/>
    <w:rsid w:val="00E978C9"/>
    <w:rsid w:val="00E97C9D"/>
    <w:rsid w:val="00E97F4D"/>
    <w:rsid w:val="00EA0EA0"/>
    <w:rsid w:val="00EA1103"/>
    <w:rsid w:val="00EA1DD5"/>
    <w:rsid w:val="00EA3062"/>
    <w:rsid w:val="00EA4712"/>
    <w:rsid w:val="00EA54E5"/>
    <w:rsid w:val="00EA60A8"/>
    <w:rsid w:val="00EA6BCF"/>
    <w:rsid w:val="00EB0EC0"/>
    <w:rsid w:val="00EB1536"/>
    <w:rsid w:val="00EB1B5F"/>
    <w:rsid w:val="00EB24F4"/>
    <w:rsid w:val="00EB2CE3"/>
    <w:rsid w:val="00EB381A"/>
    <w:rsid w:val="00EB3AF9"/>
    <w:rsid w:val="00EB3FC0"/>
    <w:rsid w:val="00EB4808"/>
    <w:rsid w:val="00EB50D3"/>
    <w:rsid w:val="00EB52A1"/>
    <w:rsid w:val="00EB57C4"/>
    <w:rsid w:val="00EB66A1"/>
    <w:rsid w:val="00EB6945"/>
    <w:rsid w:val="00EB7220"/>
    <w:rsid w:val="00EB74C5"/>
    <w:rsid w:val="00EB7FD0"/>
    <w:rsid w:val="00EC000B"/>
    <w:rsid w:val="00EC009C"/>
    <w:rsid w:val="00EC1A5B"/>
    <w:rsid w:val="00EC1A7A"/>
    <w:rsid w:val="00EC2A2D"/>
    <w:rsid w:val="00EC2A49"/>
    <w:rsid w:val="00EC360E"/>
    <w:rsid w:val="00EC3B97"/>
    <w:rsid w:val="00EC3CB7"/>
    <w:rsid w:val="00EC3F5D"/>
    <w:rsid w:val="00EC417A"/>
    <w:rsid w:val="00EC57AD"/>
    <w:rsid w:val="00EC5E74"/>
    <w:rsid w:val="00EC6048"/>
    <w:rsid w:val="00EC75D7"/>
    <w:rsid w:val="00EC7AC4"/>
    <w:rsid w:val="00ED0089"/>
    <w:rsid w:val="00ED05EF"/>
    <w:rsid w:val="00ED0D4C"/>
    <w:rsid w:val="00ED0DCD"/>
    <w:rsid w:val="00ED0EAA"/>
    <w:rsid w:val="00ED1347"/>
    <w:rsid w:val="00ED1541"/>
    <w:rsid w:val="00ED2695"/>
    <w:rsid w:val="00ED373E"/>
    <w:rsid w:val="00ED46F8"/>
    <w:rsid w:val="00ED55BF"/>
    <w:rsid w:val="00ED56FF"/>
    <w:rsid w:val="00ED6864"/>
    <w:rsid w:val="00ED70AD"/>
    <w:rsid w:val="00ED7DC0"/>
    <w:rsid w:val="00EE14CC"/>
    <w:rsid w:val="00EE1D69"/>
    <w:rsid w:val="00EE21A5"/>
    <w:rsid w:val="00EE271A"/>
    <w:rsid w:val="00EE3531"/>
    <w:rsid w:val="00EE38DF"/>
    <w:rsid w:val="00EE3C51"/>
    <w:rsid w:val="00EE549C"/>
    <w:rsid w:val="00EE58EE"/>
    <w:rsid w:val="00EE5A7C"/>
    <w:rsid w:val="00EE5D58"/>
    <w:rsid w:val="00EE6F3F"/>
    <w:rsid w:val="00EE7126"/>
    <w:rsid w:val="00EE7275"/>
    <w:rsid w:val="00EE7683"/>
    <w:rsid w:val="00EF0A6F"/>
    <w:rsid w:val="00EF14CE"/>
    <w:rsid w:val="00EF1C57"/>
    <w:rsid w:val="00EF23D9"/>
    <w:rsid w:val="00EF2E90"/>
    <w:rsid w:val="00EF3746"/>
    <w:rsid w:val="00EF3BA4"/>
    <w:rsid w:val="00EF566D"/>
    <w:rsid w:val="00EF573D"/>
    <w:rsid w:val="00EF6244"/>
    <w:rsid w:val="00EF6379"/>
    <w:rsid w:val="00EF63C6"/>
    <w:rsid w:val="00EF6AAB"/>
    <w:rsid w:val="00EF734E"/>
    <w:rsid w:val="00F00A02"/>
    <w:rsid w:val="00F00F60"/>
    <w:rsid w:val="00F01445"/>
    <w:rsid w:val="00F01DD3"/>
    <w:rsid w:val="00F01FD3"/>
    <w:rsid w:val="00F02796"/>
    <w:rsid w:val="00F027BD"/>
    <w:rsid w:val="00F02E62"/>
    <w:rsid w:val="00F032E5"/>
    <w:rsid w:val="00F033A4"/>
    <w:rsid w:val="00F03454"/>
    <w:rsid w:val="00F03A83"/>
    <w:rsid w:val="00F040D5"/>
    <w:rsid w:val="00F04F8A"/>
    <w:rsid w:val="00F054C5"/>
    <w:rsid w:val="00F05DFC"/>
    <w:rsid w:val="00F0699B"/>
    <w:rsid w:val="00F1105B"/>
    <w:rsid w:val="00F11284"/>
    <w:rsid w:val="00F11AC9"/>
    <w:rsid w:val="00F12A1A"/>
    <w:rsid w:val="00F12E16"/>
    <w:rsid w:val="00F14305"/>
    <w:rsid w:val="00F157DA"/>
    <w:rsid w:val="00F15825"/>
    <w:rsid w:val="00F158D6"/>
    <w:rsid w:val="00F167B3"/>
    <w:rsid w:val="00F16E9F"/>
    <w:rsid w:val="00F172AE"/>
    <w:rsid w:val="00F1738B"/>
    <w:rsid w:val="00F22E64"/>
    <w:rsid w:val="00F2495F"/>
    <w:rsid w:val="00F24B98"/>
    <w:rsid w:val="00F24C8D"/>
    <w:rsid w:val="00F2504A"/>
    <w:rsid w:val="00F2575E"/>
    <w:rsid w:val="00F275A6"/>
    <w:rsid w:val="00F31DC7"/>
    <w:rsid w:val="00F32D7E"/>
    <w:rsid w:val="00F3610B"/>
    <w:rsid w:val="00F36F9C"/>
    <w:rsid w:val="00F40254"/>
    <w:rsid w:val="00F40A87"/>
    <w:rsid w:val="00F425B6"/>
    <w:rsid w:val="00F42D7E"/>
    <w:rsid w:val="00F43A08"/>
    <w:rsid w:val="00F43C67"/>
    <w:rsid w:val="00F44544"/>
    <w:rsid w:val="00F44697"/>
    <w:rsid w:val="00F44830"/>
    <w:rsid w:val="00F44C76"/>
    <w:rsid w:val="00F454CA"/>
    <w:rsid w:val="00F45DB1"/>
    <w:rsid w:val="00F4715B"/>
    <w:rsid w:val="00F471BC"/>
    <w:rsid w:val="00F4770F"/>
    <w:rsid w:val="00F47DD6"/>
    <w:rsid w:val="00F47E02"/>
    <w:rsid w:val="00F51AFF"/>
    <w:rsid w:val="00F5248F"/>
    <w:rsid w:val="00F5272F"/>
    <w:rsid w:val="00F5336A"/>
    <w:rsid w:val="00F53548"/>
    <w:rsid w:val="00F536F9"/>
    <w:rsid w:val="00F540CF"/>
    <w:rsid w:val="00F54560"/>
    <w:rsid w:val="00F552A1"/>
    <w:rsid w:val="00F55ADE"/>
    <w:rsid w:val="00F55D54"/>
    <w:rsid w:val="00F5655F"/>
    <w:rsid w:val="00F5684C"/>
    <w:rsid w:val="00F56878"/>
    <w:rsid w:val="00F56F7B"/>
    <w:rsid w:val="00F56FE6"/>
    <w:rsid w:val="00F574FB"/>
    <w:rsid w:val="00F57A1E"/>
    <w:rsid w:val="00F57D3A"/>
    <w:rsid w:val="00F603EC"/>
    <w:rsid w:val="00F61F39"/>
    <w:rsid w:val="00F62C82"/>
    <w:rsid w:val="00F6374A"/>
    <w:rsid w:val="00F63C3F"/>
    <w:rsid w:val="00F64D20"/>
    <w:rsid w:val="00F64D72"/>
    <w:rsid w:val="00F660AF"/>
    <w:rsid w:val="00F6646C"/>
    <w:rsid w:val="00F66F6B"/>
    <w:rsid w:val="00F6740E"/>
    <w:rsid w:val="00F67456"/>
    <w:rsid w:val="00F676E8"/>
    <w:rsid w:val="00F67FD3"/>
    <w:rsid w:val="00F71B10"/>
    <w:rsid w:val="00F71E95"/>
    <w:rsid w:val="00F7220B"/>
    <w:rsid w:val="00F729CC"/>
    <w:rsid w:val="00F72E05"/>
    <w:rsid w:val="00F731DE"/>
    <w:rsid w:val="00F732D5"/>
    <w:rsid w:val="00F7367D"/>
    <w:rsid w:val="00F74222"/>
    <w:rsid w:val="00F76098"/>
    <w:rsid w:val="00F763D1"/>
    <w:rsid w:val="00F77105"/>
    <w:rsid w:val="00F7721B"/>
    <w:rsid w:val="00F77915"/>
    <w:rsid w:val="00F802EA"/>
    <w:rsid w:val="00F80D87"/>
    <w:rsid w:val="00F81086"/>
    <w:rsid w:val="00F82322"/>
    <w:rsid w:val="00F830A6"/>
    <w:rsid w:val="00F830C3"/>
    <w:rsid w:val="00F848D8"/>
    <w:rsid w:val="00F85D5B"/>
    <w:rsid w:val="00F85DDF"/>
    <w:rsid w:val="00F86B43"/>
    <w:rsid w:val="00F8736C"/>
    <w:rsid w:val="00F87517"/>
    <w:rsid w:val="00F878CD"/>
    <w:rsid w:val="00F902D9"/>
    <w:rsid w:val="00F9092D"/>
    <w:rsid w:val="00F90C98"/>
    <w:rsid w:val="00F913EB"/>
    <w:rsid w:val="00F919DE"/>
    <w:rsid w:val="00F923AB"/>
    <w:rsid w:val="00F930F2"/>
    <w:rsid w:val="00F93232"/>
    <w:rsid w:val="00F93D56"/>
    <w:rsid w:val="00F940BC"/>
    <w:rsid w:val="00F9485B"/>
    <w:rsid w:val="00F95443"/>
    <w:rsid w:val="00F96B91"/>
    <w:rsid w:val="00F96EAB"/>
    <w:rsid w:val="00F96EE5"/>
    <w:rsid w:val="00F97118"/>
    <w:rsid w:val="00F974BC"/>
    <w:rsid w:val="00F9795E"/>
    <w:rsid w:val="00F97A0F"/>
    <w:rsid w:val="00F97BDF"/>
    <w:rsid w:val="00F97C87"/>
    <w:rsid w:val="00FA053F"/>
    <w:rsid w:val="00FA0984"/>
    <w:rsid w:val="00FA0DC8"/>
    <w:rsid w:val="00FA102E"/>
    <w:rsid w:val="00FA184D"/>
    <w:rsid w:val="00FA1AF1"/>
    <w:rsid w:val="00FA1B2C"/>
    <w:rsid w:val="00FA210E"/>
    <w:rsid w:val="00FA2C82"/>
    <w:rsid w:val="00FA3C9D"/>
    <w:rsid w:val="00FA449A"/>
    <w:rsid w:val="00FA46C1"/>
    <w:rsid w:val="00FA499D"/>
    <w:rsid w:val="00FA576F"/>
    <w:rsid w:val="00FA5831"/>
    <w:rsid w:val="00FA597F"/>
    <w:rsid w:val="00FA623D"/>
    <w:rsid w:val="00FA6543"/>
    <w:rsid w:val="00FA6CD8"/>
    <w:rsid w:val="00FA7B71"/>
    <w:rsid w:val="00FB0E12"/>
    <w:rsid w:val="00FB2E0C"/>
    <w:rsid w:val="00FB31F8"/>
    <w:rsid w:val="00FB365C"/>
    <w:rsid w:val="00FB3CFA"/>
    <w:rsid w:val="00FB416F"/>
    <w:rsid w:val="00FB4261"/>
    <w:rsid w:val="00FB5195"/>
    <w:rsid w:val="00FB53D3"/>
    <w:rsid w:val="00FB5B5E"/>
    <w:rsid w:val="00FB5D2A"/>
    <w:rsid w:val="00FB65EA"/>
    <w:rsid w:val="00FB6A10"/>
    <w:rsid w:val="00FB6C40"/>
    <w:rsid w:val="00FB71E9"/>
    <w:rsid w:val="00FB743E"/>
    <w:rsid w:val="00FC0BE4"/>
    <w:rsid w:val="00FC0C11"/>
    <w:rsid w:val="00FC264A"/>
    <w:rsid w:val="00FC2E7B"/>
    <w:rsid w:val="00FC3F69"/>
    <w:rsid w:val="00FC42AD"/>
    <w:rsid w:val="00FC7265"/>
    <w:rsid w:val="00FC78FC"/>
    <w:rsid w:val="00FD139B"/>
    <w:rsid w:val="00FD1652"/>
    <w:rsid w:val="00FD17EA"/>
    <w:rsid w:val="00FD1E51"/>
    <w:rsid w:val="00FD20C1"/>
    <w:rsid w:val="00FD2376"/>
    <w:rsid w:val="00FD2814"/>
    <w:rsid w:val="00FD2A2E"/>
    <w:rsid w:val="00FD2FB9"/>
    <w:rsid w:val="00FD316F"/>
    <w:rsid w:val="00FD33EA"/>
    <w:rsid w:val="00FD52C1"/>
    <w:rsid w:val="00FD6043"/>
    <w:rsid w:val="00FD622F"/>
    <w:rsid w:val="00FD71F2"/>
    <w:rsid w:val="00FD72F3"/>
    <w:rsid w:val="00FD7B82"/>
    <w:rsid w:val="00FE0611"/>
    <w:rsid w:val="00FE0B21"/>
    <w:rsid w:val="00FE16F9"/>
    <w:rsid w:val="00FE1D29"/>
    <w:rsid w:val="00FE213E"/>
    <w:rsid w:val="00FE269E"/>
    <w:rsid w:val="00FE278C"/>
    <w:rsid w:val="00FE3004"/>
    <w:rsid w:val="00FE4B5A"/>
    <w:rsid w:val="00FE5EE6"/>
    <w:rsid w:val="00FE60F1"/>
    <w:rsid w:val="00FE6119"/>
    <w:rsid w:val="00FE733B"/>
    <w:rsid w:val="00FE7C10"/>
    <w:rsid w:val="00FE7F9F"/>
    <w:rsid w:val="00FE7FF8"/>
    <w:rsid w:val="00FF007E"/>
    <w:rsid w:val="00FF0155"/>
    <w:rsid w:val="00FF08AB"/>
    <w:rsid w:val="00FF1EE8"/>
    <w:rsid w:val="00FF23CD"/>
    <w:rsid w:val="00FF2789"/>
    <w:rsid w:val="00FF3145"/>
    <w:rsid w:val="00FF3D9A"/>
    <w:rsid w:val="00FF4152"/>
    <w:rsid w:val="00FF5DDE"/>
    <w:rsid w:val="00FF630E"/>
    <w:rsid w:val="00FF6621"/>
    <w:rsid w:val="00FF6D33"/>
    <w:rsid w:val="00FF7150"/>
    <w:rsid w:val="00FF7634"/>
    <w:rsid w:val="00FF7D35"/>
    <w:rsid w:val="010F3B4F"/>
    <w:rsid w:val="011412C6"/>
    <w:rsid w:val="01341539"/>
    <w:rsid w:val="014029CF"/>
    <w:rsid w:val="0156177E"/>
    <w:rsid w:val="0159126E"/>
    <w:rsid w:val="01694709"/>
    <w:rsid w:val="016A5229"/>
    <w:rsid w:val="016F4A93"/>
    <w:rsid w:val="0172010E"/>
    <w:rsid w:val="017A3854"/>
    <w:rsid w:val="017B2F92"/>
    <w:rsid w:val="01852063"/>
    <w:rsid w:val="01880E09"/>
    <w:rsid w:val="01982B78"/>
    <w:rsid w:val="01985013"/>
    <w:rsid w:val="01A2018C"/>
    <w:rsid w:val="01AF70E0"/>
    <w:rsid w:val="01BA4A45"/>
    <w:rsid w:val="01BC09EA"/>
    <w:rsid w:val="01CD5F6A"/>
    <w:rsid w:val="01DF58FF"/>
    <w:rsid w:val="01E062DA"/>
    <w:rsid w:val="01E55B53"/>
    <w:rsid w:val="01F13BE7"/>
    <w:rsid w:val="01F95DA6"/>
    <w:rsid w:val="020016E9"/>
    <w:rsid w:val="020403A9"/>
    <w:rsid w:val="021D7279"/>
    <w:rsid w:val="02222295"/>
    <w:rsid w:val="02305C56"/>
    <w:rsid w:val="024E68F9"/>
    <w:rsid w:val="026E6F9B"/>
    <w:rsid w:val="02753756"/>
    <w:rsid w:val="0281282A"/>
    <w:rsid w:val="02866093"/>
    <w:rsid w:val="02892727"/>
    <w:rsid w:val="02896F36"/>
    <w:rsid w:val="02915499"/>
    <w:rsid w:val="02926899"/>
    <w:rsid w:val="02957412"/>
    <w:rsid w:val="029C4C37"/>
    <w:rsid w:val="02A36FFD"/>
    <w:rsid w:val="02A66735"/>
    <w:rsid w:val="02AA2542"/>
    <w:rsid w:val="02CE17E8"/>
    <w:rsid w:val="02DE59A8"/>
    <w:rsid w:val="02EE7B6C"/>
    <w:rsid w:val="02EF5098"/>
    <w:rsid w:val="02FB064D"/>
    <w:rsid w:val="03062D2F"/>
    <w:rsid w:val="030B2FE8"/>
    <w:rsid w:val="030F1CBC"/>
    <w:rsid w:val="031E276F"/>
    <w:rsid w:val="031E4793"/>
    <w:rsid w:val="032A4C70"/>
    <w:rsid w:val="03362486"/>
    <w:rsid w:val="033D2503"/>
    <w:rsid w:val="034A5312"/>
    <w:rsid w:val="0350044F"/>
    <w:rsid w:val="036068E4"/>
    <w:rsid w:val="03637481"/>
    <w:rsid w:val="03647852"/>
    <w:rsid w:val="03824AAC"/>
    <w:rsid w:val="038870EA"/>
    <w:rsid w:val="038A201F"/>
    <w:rsid w:val="03A21632"/>
    <w:rsid w:val="03A94DFF"/>
    <w:rsid w:val="03AF37AD"/>
    <w:rsid w:val="03CD21B7"/>
    <w:rsid w:val="03D90E46"/>
    <w:rsid w:val="03DC0158"/>
    <w:rsid w:val="03DD6186"/>
    <w:rsid w:val="03EA5256"/>
    <w:rsid w:val="03EC0177"/>
    <w:rsid w:val="040E6488"/>
    <w:rsid w:val="040F4FD9"/>
    <w:rsid w:val="04163446"/>
    <w:rsid w:val="042F096F"/>
    <w:rsid w:val="042F3734"/>
    <w:rsid w:val="043365D3"/>
    <w:rsid w:val="04341F17"/>
    <w:rsid w:val="04363AE8"/>
    <w:rsid w:val="043B7CD9"/>
    <w:rsid w:val="043C2D23"/>
    <w:rsid w:val="04502D3E"/>
    <w:rsid w:val="04504404"/>
    <w:rsid w:val="045F303F"/>
    <w:rsid w:val="047A453A"/>
    <w:rsid w:val="047B14FB"/>
    <w:rsid w:val="04846E71"/>
    <w:rsid w:val="0488238D"/>
    <w:rsid w:val="049C42DC"/>
    <w:rsid w:val="04A90C51"/>
    <w:rsid w:val="04B2316F"/>
    <w:rsid w:val="04BC223F"/>
    <w:rsid w:val="04C27F80"/>
    <w:rsid w:val="04C35BB6"/>
    <w:rsid w:val="04C44C50"/>
    <w:rsid w:val="04CC1D57"/>
    <w:rsid w:val="04EE0073"/>
    <w:rsid w:val="04F27A0F"/>
    <w:rsid w:val="04F50C04"/>
    <w:rsid w:val="04F55751"/>
    <w:rsid w:val="04F93387"/>
    <w:rsid w:val="050634BB"/>
    <w:rsid w:val="051200B1"/>
    <w:rsid w:val="052102F4"/>
    <w:rsid w:val="0521771F"/>
    <w:rsid w:val="05571F68"/>
    <w:rsid w:val="05595CE0"/>
    <w:rsid w:val="055A55B4"/>
    <w:rsid w:val="055A7363"/>
    <w:rsid w:val="05613839"/>
    <w:rsid w:val="056C15E7"/>
    <w:rsid w:val="0585466D"/>
    <w:rsid w:val="05A34373"/>
    <w:rsid w:val="05AA02EA"/>
    <w:rsid w:val="05AB0A13"/>
    <w:rsid w:val="05AB7713"/>
    <w:rsid w:val="05B42F17"/>
    <w:rsid w:val="05B525CA"/>
    <w:rsid w:val="05BE1FE7"/>
    <w:rsid w:val="05CE23BF"/>
    <w:rsid w:val="05D76C05"/>
    <w:rsid w:val="05DF6C92"/>
    <w:rsid w:val="05E836BF"/>
    <w:rsid w:val="05F460D1"/>
    <w:rsid w:val="06085010"/>
    <w:rsid w:val="06087F75"/>
    <w:rsid w:val="06134124"/>
    <w:rsid w:val="061B4DDA"/>
    <w:rsid w:val="062D2A47"/>
    <w:rsid w:val="06316315"/>
    <w:rsid w:val="065A1D10"/>
    <w:rsid w:val="065D4B8D"/>
    <w:rsid w:val="067472CF"/>
    <w:rsid w:val="0696261C"/>
    <w:rsid w:val="06997DBD"/>
    <w:rsid w:val="069D2C4D"/>
    <w:rsid w:val="06A66E45"/>
    <w:rsid w:val="06B31420"/>
    <w:rsid w:val="06C24668"/>
    <w:rsid w:val="06CD24E2"/>
    <w:rsid w:val="070E3ED7"/>
    <w:rsid w:val="071579E5"/>
    <w:rsid w:val="071E5306"/>
    <w:rsid w:val="07245E7A"/>
    <w:rsid w:val="07293490"/>
    <w:rsid w:val="073267E9"/>
    <w:rsid w:val="074005ED"/>
    <w:rsid w:val="07401BE0"/>
    <w:rsid w:val="074B147F"/>
    <w:rsid w:val="074D76D8"/>
    <w:rsid w:val="075449B1"/>
    <w:rsid w:val="07623FFD"/>
    <w:rsid w:val="076A5A38"/>
    <w:rsid w:val="076D7821"/>
    <w:rsid w:val="076F5C9C"/>
    <w:rsid w:val="077010BF"/>
    <w:rsid w:val="07710419"/>
    <w:rsid w:val="07866B35"/>
    <w:rsid w:val="078E4972"/>
    <w:rsid w:val="07916EBC"/>
    <w:rsid w:val="079E5C19"/>
    <w:rsid w:val="07B67C68"/>
    <w:rsid w:val="07BE1BBB"/>
    <w:rsid w:val="07C02047"/>
    <w:rsid w:val="07D2656F"/>
    <w:rsid w:val="07FE2FEF"/>
    <w:rsid w:val="0800698A"/>
    <w:rsid w:val="0802440D"/>
    <w:rsid w:val="08167EB9"/>
    <w:rsid w:val="0818140A"/>
    <w:rsid w:val="081B5466"/>
    <w:rsid w:val="08251EAA"/>
    <w:rsid w:val="082562ED"/>
    <w:rsid w:val="082C49B1"/>
    <w:rsid w:val="08456118"/>
    <w:rsid w:val="08490F53"/>
    <w:rsid w:val="08596505"/>
    <w:rsid w:val="085F1943"/>
    <w:rsid w:val="08663D8C"/>
    <w:rsid w:val="0867445F"/>
    <w:rsid w:val="087169BA"/>
    <w:rsid w:val="08726B13"/>
    <w:rsid w:val="08753EA7"/>
    <w:rsid w:val="08762705"/>
    <w:rsid w:val="089B216C"/>
    <w:rsid w:val="08C07E24"/>
    <w:rsid w:val="08D24D50"/>
    <w:rsid w:val="08D27112"/>
    <w:rsid w:val="08EF1CF8"/>
    <w:rsid w:val="09065A80"/>
    <w:rsid w:val="09127F24"/>
    <w:rsid w:val="091E569B"/>
    <w:rsid w:val="0920002A"/>
    <w:rsid w:val="0926412B"/>
    <w:rsid w:val="092F0AE1"/>
    <w:rsid w:val="093A73D4"/>
    <w:rsid w:val="09424A0F"/>
    <w:rsid w:val="0958119E"/>
    <w:rsid w:val="095C5D9F"/>
    <w:rsid w:val="096609CC"/>
    <w:rsid w:val="096970D7"/>
    <w:rsid w:val="097862A6"/>
    <w:rsid w:val="097F70D9"/>
    <w:rsid w:val="098C352A"/>
    <w:rsid w:val="09981013"/>
    <w:rsid w:val="099948FD"/>
    <w:rsid w:val="09D516AE"/>
    <w:rsid w:val="09D749CF"/>
    <w:rsid w:val="09DE65C1"/>
    <w:rsid w:val="09F2218D"/>
    <w:rsid w:val="09F42CA1"/>
    <w:rsid w:val="09F55BAF"/>
    <w:rsid w:val="0A0B6138"/>
    <w:rsid w:val="0A195A3E"/>
    <w:rsid w:val="0A1B3564"/>
    <w:rsid w:val="0A2B3879"/>
    <w:rsid w:val="0A3F2D93"/>
    <w:rsid w:val="0A4576E4"/>
    <w:rsid w:val="0A5A0B0A"/>
    <w:rsid w:val="0A5F390E"/>
    <w:rsid w:val="0A6174A3"/>
    <w:rsid w:val="0A621736"/>
    <w:rsid w:val="0A636CB9"/>
    <w:rsid w:val="0A643107"/>
    <w:rsid w:val="0A742CD7"/>
    <w:rsid w:val="0A75311A"/>
    <w:rsid w:val="0A7D7D7B"/>
    <w:rsid w:val="0A8E01DA"/>
    <w:rsid w:val="0A9635CF"/>
    <w:rsid w:val="0A99092D"/>
    <w:rsid w:val="0A992DC4"/>
    <w:rsid w:val="0AA03A6A"/>
    <w:rsid w:val="0ABC3B8E"/>
    <w:rsid w:val="0AC0235E"/>
    <w:rsid w:val="0ACF1051"/>
    <w:rsid w:val="0AD55A2E"/>
    <w:rsid w:val="0ADF546B"/>
    <w:rsid w:val="0AE13E15"/>
    <w:rsid w:val="0AF17083"/>
    <w:rsid w:val="0AFC119D"/>
    <w:rsid w:val="0B071D3B"/>
    <w:rsid w:val="0B0A4727"/>
    <w:rsid w:val="0B0B5007"/>
    <w:rsid w:val="0B1202B8"/>
    <w:rsid w:val="0B1853D7"/>
    <w:rsid w:val="0B3A2110"/>
    <w:rsid w:val="0B4C5F5C"/>
    <w:rsid w:val="0B4E7969"/>
    <w:rsid w:val="0B5363BD"/>
    <w:rsid w:val="0B635F2E"/>
    <w:rsid w:val="0B6540FF"/>
    <w:rsid w:val="0B6734A5"/>
    <w:rsid w:val="0B6E3B68"/>
    <w:rsid w:val="0B7E6194"/>
    <w:rsid w:val="0B816E4C"/>
    <w:rsid w:val="0B8A5F80"/>
    <w:rsid w:val="0B8C3FEE"/>
    <w:rsid w:val="0B903821"/>
    <w:rsid w:val="0BA3250E"/>
    <w:rsid w:val="0BAA1044"/>
    <w:rsid w:val="0BBC7130"/>
    <w:rsid w:val="0BBD189E"/>
    <w:rsid w:val="0BBD5AB5"/>
    <w:rsid w:val="0BBE689D"/>
    <w:rsid w:val="0BC35C62"/>
    <w:rsid w:val="0BC61ED0"/>
    <w:rsid w:val="0BC85D95"/>
    <w:rsid w:val="0BE2317A"/>
    <w:rsid w:val="0BE90AC2"/>
    <w:rsid w:val="0BE91742"/>
    <w:rsid w:val="0C012C2E"/>
    <w:rsid w:val="0C0B770F"/>
    <w:rsid w:val="0C1B382B"/>
    <w:rsid w:val="0C1F1EFB"/>
    <w:rsid w:val="0C2E6267"/>
    <w:rsid w:val="0C5F6C9D"/>
    <w:rsid w:val="0C601A5E"/>
    <w:rsid w:val="0C66524E"/>
    <w:rsid w:val="0C767178"/>
    <w:rsid w:val="0C8F3D96"/>
    <w:rsid w:val="0CAE0BF3"/>
    <w:rsid w:val="0CC31C91"/>
    <w:rsid w:val="0CD520F0"/>
    <w:rsid w:val="0CD57440"/>
    <w:rsid w:val="0CE02843"/>
    <w:rsid w:val="0CE340E1"/>
    <w:rsid w:val="0CE57E5A"/>
    <w:rsid w:val="0CEB523E"/>
    <w:rsid w:val="0CF05D2F"/>
    <w:rsid w:val="0CFA567E"/>
    <w:rsid w:val="0D060889"/>
    <w:rsid w:val="0D1B3B91"/>
    <w:rsid w:val="0D1D75F3"/>
    <w:rsid w:val="0D1F336B"/>
    <w:rsid w:val="0D4E21C4"/>
    <w:rsid w:val="0D5C38AA"/>
    <w:rsid w:val="0D6C2329"/>
    <w:rsid w:val="0D814470"/>
    <w:rsid w:val="0D8E06EE"/>
    <w:rsid w:val="0D932689"/>
    <w:rsid w:val="0D983E3F"/>
    <w:rsid w:val="0D993901"/>
    <w:rsid w:val="0D9D6AD0"/>
    <w:rsid w:val="0DA1452F"/>
    <w:rsid w:val="0DB429A2"/>
    <w:rsid w:val="0DB937C0"/>
    <w:rsid w:val="0DBB0ABD"/>
    <w:rsid w:val="0DCA4E97"/>
    <w:rsid w:val="0DD02BF2"/>
    <w:rsid w:val="0DD759F4"/>
    <w:rsid w:val="0DF201AC"/>
    <w:rsid w:val="0DF8758C"/>
    <w:rsid w:val="0DF95ACB"/>
    <w:rsid w:val="0E106B7D"/>
    <w:rsid w:val="0E1C4FE4"/>
    <w:rsid w:val="0E370B89"/>
    <w:rsid w:val="0E462B7A"/>
    <w:rsid w:val="0E4954BA"/>
    <w:rsid w:val="0E501E34"/>
    <w:rsid w:val="0E716125"/>
    <w:rsid w:val="0E722196"/>
    <w:rsid w:val="0E777DAB"/>
    <w:rsid w:val="0E7D5ADD"/>
    <w:rsid w:val="0E8A0CB9"/>
    <w:rsid w:val="0E953034"/>
    <w:rsid w:val="0E9C4E0F"/>
    <w:rsid w:val="0EA77ABC"/>
    <w:rsid w:val="0EAC1B57"/>
    <w:rsid w:val="0ECC7523"/>
    <w:rsid w:val="0ED91C40"/>
    <w:rsid w:val="0ED95934"/>
    <w:rsid w:val="0EDA3D40"/>
    <w:rsid w:val="0EDE1004"/>
    <w:rsid w:val="0EE626FA"/>
    <w:rsid w:val="0EF902CF"/>
    <w:rsid w:val="0F0A6C71"/>
    <w:rsid w:val="0F16079E"/>
    <w:rsid w:val="0F1D44D7"/>
    <w:rsid w:val="0F206BCC"/>
    <w:rsid w:val="0F276507"/>
    <w:rsid w:val="0F2C4DE7"/>
    <w:rsid w:val="0F4001FF"/>
    <w:rsid w:val="0F60002C"/>
    <w:rsid w:val="0F640DE6"/>
    <w:rsid w:val="0F6F57D8"/>
    <w:rsid w:val="0F7A6F7F"/>
    <w:rsid w:val="0F7F48B2"/>
    <w:rsid w:val="0F80478B"/>
    <w:rsid w:val="0F812A51"/>
    <w:rsid w:val="0F882D9D"/>
    <w:rsid w:val="0F8A36B7"/>
    <w:rsid w:val="0F8F76B7"/>
    <w:rsid w:val="0F950DC9"/>
    <w:rsid w:val="0F9E0ABD"/>
    <w:rsid w:val="0FA05057"/>
    <w:rsid w:val="0FB25675"/>
    <w:rsid w:val="0FB71FA8"/>
    <w:rsid w:val="0FBB45E7"/>
    <w:rsid w:val="0FBC7598"/>
    <w:rsid w:val="0FC36648"/>
    <w:rsid w:val="0FC95811"/>
    <w:rsid w:val="0FDC75DD"/>
    <w:rsid w:val="0FE94D62"/>
    <w:rsid w:val="0FEA114A"/>
    <w:rsid w:val="0FEB5AE1"/>
    <w:rsid w:val="100D5E33"/>
    <w:rsid w:val="10141104"/>
    <w:rsid w:val="101A606C"/>
    <w:rsid w:val="102738BB"/>
    <w:rsid w:val="102B7563"/>
    <w:rsid w:val="10391D70"/>
    <w:rsid w:val="10404042"/>
    <w:rsid w:val="10433F63"/>
    <w:rsid w:val="10481722"/>
    <w:rsid w:val="104E74EA"/>
    <w:rsid w:val="1065381B"/>
    <w:rsid w:val="106E400E"/>
    <w:rsid w:val="106F1FFD"/>
    <w:rsid w:val="10871858"/>
    <w:rsid w:val="109B448D"/>
    <w:rsid w:val="10A5627E"/>
    <w:rsid w:val="10A962A7"/>
    <w:rsid w:val="10B91F0F"/>
    <w:rsid w:val="10C06534"/>
    <w:rsid w:val="10CB2B2F"/>
    <w:rsid w:val="10D07968"/>
    <w:rsid w:val="10DA161B"/>
    <w:rsid w:val="10E24263"/>
    <w:rsid w:val="10E76118"/>
    <w:rsid w:val="10F528DE"/>
    <w:rsid w:val="10F55175"/>
    <w:rsid w:val="10F90C6D"/>
    <w:rsid w:val="11043AEC"/>
    <w:rsid w:val="11050ACA"/>
    <w:rsid w:val="110A1B65"/>
    <w:rsid w:val="11114067"/>
    <w:rsid w:val="11280AC4"/>
    <w:rsid w:val="11314385"/>
    <w:rsid w:val="11321BDC"/>
    <w:rsid w:val="11326CCE"/>
    <w:rsid w:val="114312D0"/>
    <w:rsid w:val="114F1217"/>
    <w:rsid w:val="11590DA2"/>
    <w:rsid w:val="11601BC5"/>
    <w:rsid w:val="1167463A"/>
    <w:rsid w:val="118574C9"/>
    <w:rsid w:val="119500A0"/>
    <w:rsid w:val="119913CA"/>
    <w:rsid w:val="119B31DD"/>
    <w:rsid w:val="119B46BD"/>
    <w:rsid w:val="11A06CAF"/>
    <w:rsid w:val="11A4521E"/>
    <w:rsid w:val="11A87C21"/>
    <w:rsid w:val="11BE7CC8"/>
    <w:rsid w:val="11C609CA"/>
    <w:rsid w:val="11D17665"/>
    <w:rsid w:val="11D64215"/>
    <w:rsid w:val="11E42DD6"/>
    <w:rsid w:val="11E84674"/>
    <w:rsid w:val="11F0177A"/>
    <w:rsid w:val="1202500A"/>
    <w:rsid w:val="1227792F"/>
    <w:rsid w:val="123C34B4"/>
    <w:rsid w:val="124179BE"/>
    <w:rsid w:val="124318AA"/>
    <w:rsid w:val="124E024F"/>
    <w:rsid w:val="125661BD"/>
    <w:rsid w:val="126F6B21"/>
    <w:rsid w:val="12812BD8"/>
    <w:rsid w:val="129245B1"/>
    <w:rsid w:val="129904F4"/>
    <w:rsid w:val="129A1A40"/>
    <w:rsid w:val="12C02EFB"/>
    <w:rsid w:val="12D0492C"/>
    <w:rsid w:val="12D71F72"/>
    <w:rsid w:val="12D76496"/>
    <w:rsid w:val="12E525B5"/>
    <w:rsid w:val="12F029C0"/>
    <w:rsid w:val="130848A2"/>
    <w:rsid w:val="131A3265"/>
    <w:rsid w:val="132A4818"/>
    <w:rsid w:val="132B08D3"/>
    <w:rsid w:val="13367661"/>
    <w:rsid w:val="1349263C"/>
    <w:rsid w:val="134E20A5"/>
    <w:rsid w:val="134F24D1"/>
    <w:rsid w:val="13537F26"/>
    <w:rsid w:val="1356560D"/>
    <w:rsid w:val="13667C9C"/>
    <w:rsid w:val="136B07DB"/>
    <w:rsid w:val="13721F17"/>
    <w:rsid w:val="137309E4"/>
    <w:rsid w:val="13841D40"/>
    <w:rsid w:val="139C4EEF"/>
    <w:rsid w:val="13A25F03"/>
    <w:rsid w:val="13A301B0"/>
    <w:rsid w:val="13A50343"/>
    <w:rsid w:val="13AC5CF9"/>
    <w:rsid w:val="13AE35F7"/>
    <w:rsid w:val="13B72056"/>
    <w:rsid w:val="13C24CE7"/>
    <w:rsid w:val="13CA445E"/>
    <w:rsid w:val="13D037EB"/>
    <w:rsid w:val="13DC2CA6"/>
    <w:rsid w:val="13E570D9"/>
    <w:rsid w:val="13F76DF0"/>
    <w:rsid w:val="1404469C"/>
    <w:rsid w:val="14052375"/>
    <w:rsid w:val="14111216"/>
    <w:rsid w:val="14247636"/>
    <w:rsid w:val="143E42EA"/>
    <w:rsid w:val="144813FA"/>
    <w:rsid w:val="144933C4"/>
    <w:rsid w:val="144E709D"/>
    <w:rsid w:val="14506500"/>
    <w:rsid w:val="145227C7"/>
    <w:rsid w:val="14531B4D"/>
    <w:rsid w:val="145633FD"/>
    <w:rsid w:val="145C3450"/>
    <w:rsid w:val="145F2E2A"/>
    <w:rsid w:val="14604446"/>
    <w:rsid w:val="14667AD2"/>
    <w:rsid w:val="14733F9D"/>
    <w:rsid w:val="147646E9"/>
    <w:rsid w:val="148C392E"/>
    <w:rsid w:val="14920D7F"/>
    <w:rsid w:val="14954590"/>
    <w:rsid w:val="14985835"/>
    <w:rsid w:val="149D101A"/>
    <w:rsid w:val="14AB1989"/>
    <w:rsid w:val="14C538F8"/>
    <w:rsid w:val="14C842E9"/>
    <w:rsid w:val="14C91E0F"/>
    <w:rsid w:val="14D67266"/>
    <w:rsid w:val="1507272E"/>
    <w:rsid w:val="150A2B53"/>
    <w:rsid w:val="150D4DC7"/>
    <w:rsid w:val="15155054"/>
    <w:rsid w:val="1519674C"/>
    <w:rsid w:val="151C589E"/>
    <w:rsid w:val="151F01CA"/>
    <w:rsid w:val="152257E6"/>
    <w:rsid w:val="15227E9D"/>
    <w:rsid w:val="15233057"/>
    <w:rsid w:val="1525173B"/>
    <w:rsid w:val="153838B5"/>
    <w:rsid w:val="15467D76"/>
    <w:rsid w:val="154F308C"/>
    <w:rsid w:val="15520056"/>
    <w:rsid w:val="155D0DE4"/>
    <w:rsid w:val="157224B2"/>
    <w:rsid w:val="158765E6"/>
    <w:rsid w:val="15881104"/>
    <w:rsid w:val="1591227A"/>
    <w:rsid w:val="15913A24"/>
    <w:rsid w:val="15950ADC"/>
    <w:rsid w:val="159F1B9B"/>
    <w:rsid w:val="15B66808"/>
    <w:rsid w:val="15B80929"/>
    <w:rsid w:val="15CE592F"/>
    <w:rsid w:val="15D44A2E"/>
    <w:rsid w:val="15F31839"/>
    <w:rsid w:val="15F51A15"/>
    <w:rsid w:val="160413CD"/>
    <w:rsid w:val="16113A6D"/>
    <w:rsid w:val="16133C89"/>
    <w:rsid w:val="16151726"/>
    <w:rsid w:val="16172233"/>
    <w:rsid w:val="162A531F"/>
    <w:rsid w:val="16351ADA"/>
    <w:rsid w:val="163D0D06"/>
    <w:rsid w:val="16421E79"/>
    <w:rsid w:val="16516E83"/>
    <w:rsid w:val="165C4031"/>
    <w:rsid w:val="166E7690"/>
    <w:rsid w:val="16766D2B"/>
    <w:rsid w:val="16897549"/>
    <w:rsid w:val="168E50BE"/>
    <w:rsid w:val="168F1E62"/>
    <w:rsid w:val="16995DF6"/>
    <w:rsid w:val="16A05EAB"/>
    <w:rsid w:val="16A44BEC"/>
    <w:rsid w:val="16C12A18"/>
    <w:rsid w:val="16C272FF"/>
    <w:rsid w:val="16D60144"/>
    <w:rsid w:val="16E53858"/>
    <w:rsid w:val="16EF1DD3"/>
    <w:rsid w:val="170039F8"/>
    <w:rsid w:val="1708059C"/>
    <w:rsid w:val="171A1911"/>
    <w:rsid w:val="171F7282"/>
    <w:rsid w:val="17326391"/>
    <w:rsid w:val="17347036"/>
    <w:rsid w:val="175D54EB"/>
    <w:rsid w:val="175F2179"/>
    <w:rsid w:val="17606EBA"/>
    <w:rsid w:val="17620A24"/>
    <w:rsid w:val="17662374"/>
    <w:rsid w:val="176B5909"/>
    <w:rsid w:val="176F093B"/>
    <w:rsid w:val="17764EF6"/>
    <w:rsid w:val="178F6EA1"/>
    <w:rsid w:val="17A0672A"/>
    <w:rsid w:val="17B1375A"/>
    <w:rsid w:val="17B4461E"/>
    <w:rsid w:val="17BC2292"/>
    <w:rsid w:val="17C41E3F"/>
    <w:rsid w:val="17F43647"/>
    <w:rsid w:val="18054A32"/>
    <w:rsid w:val="18057602"/>
    <w:rsid w:val="1823679F"/>
    <w:rsid w:val="18277578"/>
    <w:rsid w:val="182A0E16"/>
    <w:rsid w:val="182C5E0D"/>
    <w:rsid w:val="183121A5"/>
    <w:rsid w:val="183A72AB"/>
    <w:rsid w:val="183D3240"/>
    <w:rsid w:val="18450DE8"/>
    <w:rsid w:val="184B770B"/>
    <w:rsid w:val="185346AA"/>
    <w:rsid w:val="185B2634"/>
    <w:rsid w:val="18610CDC"/>
    <w:rsid w:val="18737847"/>
    <w:rsid w:val="187F440A"/>
    <w:rsid w:val="1896346F"/>
    <w:rsid w:val="18967F87"/>
    <w:rsid w:val="189726EC"/>
    <w:rsid w:val="18A92346"/>
    <w:rsid w:val="18C64903"/>
    <w:rsid w:val="18D358B9"/>
    <w:rsid w:val="18DD37FD"/>
    <w:rsid w:val="18DF798A"/>
    <w:rsid w:val="18E02DD5"/>
    <w:rsid w:val="18E90CD1"/>
    <w:rsid w:val="18EB7744"/>
    <w:rsid w:val="18F919BD"/>
    <w:rsid w:val="19050BBF"/>
    <w:rsid w:val="19062F39"/>
    <w:rsid w:val="1910625E"/>
    <w:rsid w:val="191B69B3"/>
    <w:rsid w:val="192835A8"/>
    <w:rsid w:val="193748D9"/>
    <w:rsid w:val="193957B5"/>
    <w:rsid w:val="193A0F3F"/>
    <w:rsid w:val="193C3BF8"/>
    <w:rsid w:val="195C76F5"/>
    <w:rsid w:val="195E45F9"/>
    <w:rsid w:val="196E6B9F"/>
    <w:rsid w:val="197B5728"/>
    <w:rsid w:val="19820E28"/>
    <w:rsid w:val="19916771"/>
    <w:rsid w:val="1991739F"/>
    <w:rsid w:val="19AE61A3"/>
    <w:rsid w:val="19C42CE9"/>
    <w:rsid w:val="19C64C27"/>
    <w:rsid w:val="19CC629C"/>
    <w:rsid w:val="19CD414F"/>
    <w:rsid w:val="19D13DED"/>
    <w:rsid w:val="19D84FCE"/>
    <w:rsid w:val="19DF1240"/>
    <w:rsid w:val="19EA2F53"/>
    <w:rsid w:val="19EB76AA"/>
    <w:rsid w:val="19EC551F"/>
    <w:rsid w:val="19EC6661"/>
    <w:rsid w:val="19FC3B0F"/>
    <w:rsid w:val="1A0D279E"/>
    <w:rsid w:val="1A174E2B"/>
    <w:rsid w:val="1A207A24"/>
    <w:rsid w:val="1A231EAC"/>
    <w:rsid w:val="1A2E4BEE"/>
    <w:rsid w:val="1A313602"/>
    <w:rsid w:val="1A3146DE"/>
    <w:rsid w:val="1A450189"/>
    <w:rsid w:val="1A4532C6"/>
    <w:rsid w:val="1A620028"/>
    <w:rsid w:val="1A654388"/>
    <w:rsid w:val="1A7F76CA"/>
    <w:rsid w:val="1A9371B4"/>
    <w:rsid w:val="1AA2738A"/>
    <w:rsid w:val="1AB1581F"/>
    <w:rsid w:val="1AB675A2"/>
    <w:rsid w:val="1ABF7F3C"/>
    <w:rsid w:val="1AE16104"/>
    <w:rsid w:val="1AF40122"/>
    <w:rsid w:val="1B1437C1"/>
    <w:rsid w:val="1B2304CB"/>
    <w:rsid w:val="1B2C3602"/>
    <w:rsid w:val="1B38336F"/>
    <w:rsid w:val="1B4F155D"/>
    <w:rsid w:val="1B817FB8"/>
    <w:rsid w:val="1B837121"/>
    <w:rsid w:val="1B863871"/>
    <w:rsid w:val="1B8D3B96"/>
    <w:rsid w:val="1B970720"/>
    <w:rsid w:val="1BA04F2D"/>
    <w:rsid w:val="1BA979E5"/>
    <w:rsid w:val="1BAF6017"/>
    <w:rsid w:val="1BB0139D"/>
    <w:rsid w:val="1BB43169"/>
    <w:rsid w:val="1BBB56A2"/>
    <w:rsid w:val="1BCA0332"/>
    <w:rsid w:val="1BD27C70"/>
    <w:rsid w:val="1BE85270"/>
    <w:rsid w:val="1C0A3439"/>
    <w:rsid w:val="1C166281"/>
    <w:rsid w:val="1C2208E7"/>
    <w:rsid w:val="1C2D0D45"/>
    <w:rsid w:val="1C2E35CB"/>
    <w:rsid w:val="1C3B71E9"/>
    <w:rsid w:val="1C4241C9"/>
    <w:rsid w:val="1C500B71"/>
    <w:rsid w:val="1C5D7A0C"/>
    <w:rsid w:val="1C5E4AD3"/>
    <w:rsid w:val="1C5F19D6"/>
    <w:rsid w:val="1C6C5EA1"/>
    <w:rsid w:val="1C783C72"/>
    <w:rsid w:val="1C866578"/>
    <w:rsid w:val="1C94155B"/>
    <w:rsid w:val="1C961170"/>
    <w:rsid w:val="1CB041B1"/>
    <w:rsid w:val="1CC73122"/>
    <w:rsid w:val="1CD75A11"/>
    <w:rsid w:val="1CDA132C"/>
    <w:rsid w:val="1CDC4DD5"/>
    <w:rsid w:val="1CEC2B3E"/>
    <w:rsid w:val="1CF0262F"/>
    <w:rsid w:val="1CF62BF1"/>
    <w:rsid w:val="1CFE7E1B"/>
    <w:rsid w:val="1D014CC1"/>
    <w:rsid w:val="1D03542A"/>
    <w:rsid w:val="1D1B6401"/>
    <w:rsid w:val="1D2D3883"/>
    <w:rsid w:val="1D3C44CF"/>
    <w:rsid w:val="1D456523"/>
    <w:rsid w:val="1D5478D2"/>
    <w:rsid w:val="1D6453EF"/>
    <w:rsid w:val="1D6B187C"/>
    <w:rsid w:val="1D7274E7"/>
    <w:rsid w:val="1D7E7C3A"/>
    <w:rsid w:val="1D8360B5"/>
    <w:rsid w:val="1D862EA1"/>
    <w:rsid w:val="1D8B1CBE"/>
    <w:rsid w:val="1D970CFC"/>
    <w:rsid w:val="1DD261D8"/>
    <w:rsid w:val="1DDA388D"/>
    <w:rsid w:val="1DDB2F8F"/>
    <w:rsid w:val="1DE53F65"/>
    <w:rsid w:val="1DEF77A7"/>
    <w:rsid w:val="1DF64DF4"/>
    <w:rsid w:val="1E057B7E"/>
    <w:rsid w:val="1E0D0FBE"/>
    <w:rsid w:val="1E0F75EF"/>
    <w:rsid w:val="1E1255FD"/>
    <w:rsid w:val="1E1B6A69"/>
    <w:rsid w:val="1E2C58E8"/>
    <w:rsid w:val="1E2C7696"/>
    <w:rsid w:val="1E2D340E"/>
    <w:rsid w:val="1E2E3C5B"/>
    <w:rsid w:val="1E3B1FCF"/>
    <w:rsid w:val="1E463D59"/>
    <w:rsid w:val="1E466713"/>
    <w:rsid w:val="1E6A579B"/>
    <w:rsid w:val="1E6D7CAF"/>
    <w:rsid w:val="1E7B061E"/>
    <w:rsid w:val="1E7D45CD"/>
    <w:rsid w:val="1E8C45D9"/>
    <w:rsid w:val="1EA638ED"/>
    <w:rsid w:val="1EE40312"/>
    <w:rsid w:val="1EE833D9"/>
    <w:rsid w:val="1EED6AD4"/>
    <w:rsid w:val="1EF53F2C"/>
    <w:rsid w:val="1F003FE9"/>
    <w:rsid w:val="1F0166CD"/>
    <w:rsid w:val="1F070103"/>
    <w:rsid w:val="1F0A08C8"/>
    <w:rsid w:val="1F2D37F1"/>
    <w:rsid w:val="1F3A2070"/>
    <w:rsid w:val="1F4D2260"/>
    <w:rsid w:val="1F606B81"/>
    <w:rsid w:val="1F642E60"/>
    <w:rsid w:val="1F707A5F"/>
    <w:rsid w:val="1F817473"/>
    <w:rsid w:val="1F833C2E"/>
    <w:rsid w:val="1F890B18"/>
    <w:rsid w:val="1F8B4EC7"/>
    <w:rsid w:val="1F914044"/>
    <w:rsid w:val="1FA60534"/>
    <w:rsid w:val="1FB12584"/>
    <w:rsid w:val="1FB65DB1"/>
    <w:rsid w:val="1FB71E2E"/>
    <w:rsid w:val="1FC17B04"/>
    <w:rsid w:val="1FC40A9D"/>
    <w:rsid w:val="1FCE6B06"/>
    <w:rsid w:val="1FD04999"/>
    <w:rsid w:val="1FD75D28"/>
    <w:rsid w:val="1FE168D2"/>
    <w:rsid w:val="1FE346CD"/>
    <w:rsid w:val="200B5633"/>
    <w:rsid w:val="200D1140"/>
    <w:rsid w:val="202C4ABA"/>
    <w:rsid w:val="2036134E"/>
    <w:rsid w:val="20574407"/>
    <w:rsid w:val="206625CA"/>
    <w:rsid w:val="206C7822"/>
    <w:rsid w:val="207B1A28"/>
    <w:rsid w:val="207D0923"/>
    <w:rsid w:val="20905E5B"/>
    <w:rsid w:val="20CE712B"/>
    <w:rsid w:val="20D2518F"/>
    <w:rsid w:val="20E82CFA"/>
    <w:rsid w:val="20EB5DE9"/>
    <w:rsid w:val="20F64BB0"/>
    <w:rsid w:val="21016270"/>
    <w:rsid w:val="21093CBF"/>
    <w:rsid w:val="210963B5"/>
    <w:rsid w:val="210C340C"/>
    <w:rsid w:val="210E5779"/>
    <w:rsid w:val="210E6D86"/>
    <w:rsid w:val="210F3CEF"/>
    <w:rsid w:val="21130FE1"/>
    <w:rsid w:val="211469CB"/>
    <w:rsid w:val="212E5E1B"/>
    <w:rsid w:val="21380A48"/>
    <w:rsid w:val="2148258B"/>
    <w:rsid w:val="215955CC"/>
    <w:rsid w:val="21651998"/>
    <w:rsid w:val="216D2C0B"/>
    <w:rsid w:val="21725D08"/>
    <w:rsid w:val="21741D06"/>
    <w:rsid w:val="217B2A86"/>
    <w:rsid w:val="217E07F2"/>
    <w:rsid w:val="218B6DCA"/>
    <w:rsid w:val="21A0181E"/>
    <w:rsid w:val="21A90E71"/>
    <w:rsid w:val="21AC5825"/>
    <w:rsid w:val="21B17667"/>
    <w:rsid w:val="21BD11EA"/>
    <w:rsid w:val="21D22153"/>
    <w:rsid w:val="21DD6EFA"/>
    <w:rsid w:val="21F57122"/>
    <w:rsid w:val="21F61176"/>
    <w:rsid w:val="220A602C"/>
    <w:rsid w:val="22160D89"/>
    <w:rsid w:val="221B170D"/>
    <w:rsid w:val="22222E58"/>
    <w:rsid w:val="22457A85"/>
    <w:rsid w:val="224A458F"/>
    <w:rsid w:val="2265761B"/>
    <w:rsid w:val="22972D6A"/>
    <w:rsid w:val="22A07A2E"/>
    <w:rsid w:val="22B45E4A"/>
    <w:rsid w:val="22B9795C"/>
    <w:rsid w:val="22C00CF5"/>
    <w:rsid w:val="22D402FC"/>
    <w:rsid w:val="22D73EBB"/>
    <w:rsid w:val="22E16B65"/>
    <w:rsid w:val="22F34C27"/>
    <w:rsid w:val="22F52D07"/>
    <w:rsid w:val="22F664C5"/>
    <w:rsid w:val="22FC4498"/>
    <w:rsid w:val="22FF181D"/>
    <w:rsid w:val="230C3F3A"/>
    <w:rsid w:val="23190119"/>
    <w:rsid w:val="231D7EF5"/>
    <w:rsid w:val="232C50F4"/>
    <w:rsid w:val="23452FA8"/>
    <w:rsid w:val="23490CEA"/>
    <w:rsid w:val="234E096C"/>
    <w:rsid w:val="23586D81"/>
    <w:rsid w:val="236129FD"/>
    <w:rsid w:val="236411EA"/>
    <w:rsid w:val="23897339"/>
    <w:rsid w:val="238E0DF3"/>
    <w:rsid w:val="23921F6D"/>
    <w:rsid w:val="239B012B"/>
    <w:rsid w:val="239C52BE"/>
    <w:rsid w:val="23AB0D56"/>
    <w:rsid w:val="23B5422D"/>
    <w:rsid w:val="23C87E61"/>
    <w:rsid w:val="23DF164F"/>
    <w:rsid w:val="23E40A13"/>
    <w:rsid w:val="23E755DB"/>
    <w:rsid w:val="23F35E85"/>
    <w:rsid w:val="23F51709"/>
    <w:rsid w:val="23F73023"/>
    <w:rsid w:val="2409047A"/>
    <w:rsid w:val="241759D7"/>
    <w:rsid w:val="242157C3"/>
    <w:rsid w:val="242202FD"/>
    <w:rsid w:val="243A0633"/>
    <w:rsid w:val="24417C14"/>
    <w:rsid w:val="244C284A"/>
    <w:rsid w:val="24583625"/>
    <w:rsid w:val="245C00FA"/>
    <w:rsid w:val="246062EC"/>
    <w:rsid w:val="246553E6"/>
    <w:rsid w:val="2468306C"/>
    <w:rsid w:val="247A14E8"/>
    <w:rsid w:val="24822706"/>
    <w:rsid w:val="24875A24"/>
    <w:rsid w:val="24973784"/>
    <w:rsid w:val="24A361D8"/>
    <w:rsid w:val="24A634B4"/>
    <w:rsid w:val="24A73F1B"/>
    <w:rsid w:val="24B91EA0"/>
    <w:rsid w:val="24CE4061"/>
    <w:rsid w:val="24D42836"/>
    <w:rsid w:val="24D52A7D"/>
    <w:rsid w:val="24DA3E63"/>
    <w:rsid w:val="24E862E1"/>
    <w:rsid w:val="25002214"/>
    <w:rsid w:val="25070E5D"/>
    <w:rsid w:val="25122B0A"/>
    <w:rsid w:val="251946ED"/>
    <w:rsid w:val="251F2E58"/>
    <w:rsid w:val="25210FC6"/>
    <w:rsid w:val="25341414"/>
    <w:rsid w:val="253A722E"/>
    <w:rsid w:val="25472928"/>
    <w:rsid w:val="25717238"/>
    <w:rsid w:val="258D149A"/>
    <w:rsid w:val="25937070"/>
    <w:rsid w:val="259761F8"/>
    <w:rsid w:val="259773C6"/>
    <w:rsid w:val="259C23F8"/>
    <w:rsid w:val="25A02C1E"/>
    <w:rsid w:val="25B763DF"/>
    <w:rsid w:val="25C6431C"/>
    <w:rsid w:val="25DC525C"/>
    <w:rsid w:val="25E45C2E"/>
    <w:rsid w:val="25E46AA9"/>
    <w:rsid w:val="25E9175A"/>
    <w:rsid w:val="25FE5DCA"/>
    <w:rsid w:val="260A000A"/>
    <w:rsid w:val="260F6D07"/>
    <w:rsid w:val="261A4BC0"/>
    <w:rsid w:val="26247424"/>
    <w:rsid w:val="262A599D"/>
    <w:rsid w:val="263117D1"/>
    <w:rsid w:val="26316101"/>
    <w:rsid w:val="26321282"/>
    <w:rsid w:val="263C0693"/>
    <w:rsid w:val="26465541"/>
    <w:rsid w:val="26490E0B"/>
    <w:rsid w:val="264F151E"/>
    <w:rsid w:val="26715F52"/>
    <w:rsid w:val="267A6AF4"/>
    <w:rsid w:val="267B5791"/>
    <w:rsid w:val="268A7862"/>
    <w:rsid w:val="268F456F"/>
    <w:rsid w:val="26B70F8A"/>
    <w:rsid w:val="26BB5A5B"/>
    <w:rsid w:val="26D84203"/>
    <w:rsid w:val="26E826C4"/>
    <w:rsid w:val="26E97C14"/>
    <w:rsid w:val="26F62C09"/>
    <w:rsid w:val="26FD3890"/>
    <w:rsid w:val="27005E6C"/>
    <w:rsid w:val="2702752D"/>
    <w:rsid w:val="27037F84"/>
    <w:rsid w:val="27146EC7"/>
    <w:rsid w:val="27242053"/>
    <w:rsid w:val="27280C17"/>
    <w:rsid w:val="2742617D"/>
    <w:rsid w:val="27483874"/>
    <w:rsid w:val="274F2E1B"/>
    <w:rsid w:val="275B2D9A"/>
    <w:rsid w:val="275C5207"/>
    <w:rsid w:val="27785886"/>
    <w:rsid w:val="277F0D47"/>
    <w:rsid w:val="27846615"/>
    <w:rsid w:val="27955314"/>
    <w:rsid w:val="279D7857"/>
    <w:rsid w:val="27A04C51"/>
    <w:rsid w:val="27AA0826"/>
    <w:rsid w:val="27AA4164"/>
    <w:rsid w:val="27B222AE"/>
    <w:rsid w:val="27BA2AB1"/>
    <w:rsid w:val="27C668BE"/>
    <w:rsid w:val="27D94C4A"/>
    <w:rsid w:val="27E36863"/>
    <w:rsid w:val="27E85793"/>
    <w:rsid w:val="27EE6E31"/>
    <w:rsid w:val="280255D6"/>
    <w:rsid w:val="28156F01"/>
    <w:rsid w:val="28215D92"/>
    <w:rsid w:val="28292551"/>
    <w:rsid w:val="283D5F0F"/>
    <w:rsid w:val="2840342E"/>
    <w:rsid w:val="284B1061"/>
    <w:rsid w:val="285223EF"/>
    <w:rsid w:val="285606B7"/>
    <w:rsid w:val="285C3AC6"/>
    <w:rsid w:val="28697739"/>
    <w:rsid w:val="28870D98"/>
    <w:rsid w:val="289320B5"/>
    <w:rsid w:val="2894210B"/>
    <w:rsid w:val="28B31D60"/>
    <w:rsid w:val="28C46526"/>
    <w:rsid w:val="28C97D87"/>
    <w:rsid w:val="28D220AC"/>
    <w:rsid w:val="28D23530"/>
    <w:rsid w:val="28D76D98"/>
    <w:rsid w:val="28D7763F"/>
    <w:rsid w:val="28F2772E"/>
    <w:rsid w:val="28F36BA6"/>
    <w:rsid w:val="290E2EC2"/>
    <w:rsid w:val="29257B04"/>
    <w:rsid w:val="2938341E"/>
    <w:rsid w:val="293E7570"/>
    <w:rsid w:val="294778BF"/>
    <w:rsid w:val="294A6FE6"/>
    <w:rsid w:val="2968576E"/>
    <w:rsid w:val="296E3259"/>
    <w:rsid w:val="297035D9"/>
    <w:rsid w:val="297866ED"/>
    <w:rsid w:val="297C78F2"/>
    <w:rsid w:val="299237E7"/>
    <w:rsid w:val="29BB5B3A"/>
    <w:rsid w:val="29BC19F0"/>
    <w:rsid w:val="29C41326"/>
    <w:rsid w:val="29D137E8"/>
    <w:rsid w:val="29E64528"/>
    <w:rsid w:val="2A026B3E"/>
    <w:rsid w:val="2A0C4D35"/>
    <w:rsid w:val="2A136A9D"/>
    <w:rsid w:val="2A1A06F2"/>
    <w:rsid w:val="2A377AEF"/>
    <w:rsid w:val="2A3A313B"/>
    <w:rsid w:val="2A531FC8"/>
    <w:rsid w:val="2A5D0A7E"/>
    <w:rsid w:val="2A634670"/>
    <w:rsid w:val="2A7159C1"/>
    <w:rsid w:val="2A785045"/>
    <w:rsid w:val="2A8B7BD3"/>
    <w:rsid w:val="2A930A9D"/>
    <w:rsid w:val="2A9D2F38"/>
    <w:rsid w:val="2AA607D0"/>
    <w:rsid w:val="2AA84B49"/>
    <w:rsid w:val="2ABB001F"/>
    <w:rsid w:val="2ABE2C0A"/>
    <w:rsid w:val="2AC11AAE"/>
    <w:rsid w:val="2ACA0963"/>
    <w:rsid w:val="2ACE5308"/>
    <w:rsid w:val="2AD51AA9"/>
    <w:rsid w:val="2ADB491E"/>
    <w:rsid w:val="2AF11BE2"/>
    <w:rsid w:val="2AFD4450"/>
    <w:rsid w:val="2B0755AE"/>
    <w:rsid w:val="2B097498"/>
    <w:rsid w:val="2B1240B8"/>
    <w:rsid w:val="2B345A23"/>
    <w:rsid w:val="2B404781"/>
    <w:rsid w:val="2B4B0B51"/>
    <w:rsid w:val="2B4D441A"/>
    <w:rsid w:val="2B597F39"/>
    <w:rsid w:val="2B6E0DD4"/>
    <w:rsid w:val="2B77111E"/>
    <w:rsid w:val="2B783395"/>
    <w:rsid w:val="2B7D231D"/>
    <w:rsid w:val="2B7D6630"/>
    <w:rsid w:val="2B912A33"/>
    <w:rsid w:val="2B9A5B45"/>
    <w:rsid w:val="2BA37D26"/>
    <w:rsid w:val="2BB73955"/>
    <w:rsid w:val="2BB86A0D"/>
    <w:rsid w:val="2BC96E6C"/>
    <w:rsid w:val="2BCB742F"/>
    <w:rsid w:val="2BD17451"/>
    <w:rsid w:val="2BD575BF"/>
    <w:rsid w:val="2BDB6BA0"/>
    <w:rsid w:val="2BFF288E"/>
    <w:rsid w:val="2C0D1C70"/>
    <w:rsid w:val="2C0E487F"/>
    <w:rsid w:val="2C123E87"/>
    <w:rsid w:val="2C553395"/>
    <w:rsid w:val="2C561A0A"/>
    <w:rsid w:val="2C6574E7"/>
    <w:rsid w:val="2C6C56C2"/>
    <w:rsid w:val="2C746D47"/>
    <w:rsid w:val="2C770676"/>
    <w:rsid w:val="2C853AD3"/>
    <w:rsid w:val="2CA72036"/>
    <w:rsid w:val="2CA84CD4"/>
    <w:rsid w:val="2CAB47C4"/>
    <w:rsid w:val="2CAD5E46"/>
    <w:rsid w:val="2CAE1357"/>
    <w:rsid w:val="2CB73169"/>
    <w:rsid w:val="2CB847EB"/>
    <w:rsid w:val="2CC62266"/>
    <w:rsid w:val="2CD77126"/>
    <w:rsid w:val="2CE25F21"/>
    <w:rsid w:val="2CE32583"/>
    <w:rsid w:val="2CEF1BF0"/>
    <w:rsid w:val="2CF55A3F"/>
    <w:rsid w:val="2CF560B4"/>
    <w:rsid w:val="2CF577ED"/>
    <w:rsid w:val="2CF9108B"/>
    <w:rsid w:val="2D023258"/>
    <w:rsid w:val="2D055F0E"/>
    <w:rsid w:val="2D0C1A6D"/>
    <w:rsid w:val="2D0E4B6D"/>
    <w:rsid w:val="2D2944E7"/>
    <w:rsid w:val="2D2A393B"/>
    <w:rsid w:val="2D2F5A8D"/>
    <w:rsid w:val="2D3A721C"/>
    <w:rsid w:val="2D3C0C46"/>
    <w:rsid w:val="2D3E1194"/>
    <w:rsid w:val="2D4123CA"/>
    <w:rsid w:val="2D441093"/>
    <w:rsid w:val="2D4C1B03"/>
    <w:rsid w:val="2D4D587B"/>
    <w:rsid w:val="2D5A6919"/>
    <w:rsid w:val="2D5E7113"/>
    <w:rsid w:val="2D624F61"/>
    <w:rsid w:val="2D66442F"/>
    <w:rsid w:val="2D6A0F01"/>
    <w:rsid w:val="2D6A679D"/>
    <w:rsid w:val="2D721A06"/>
    <w:rsid w:val="2D766B80"/>
    <w:rsid w:val="2D8E3576"/>
    <w:rsid w:val="2D8E5ADB"/>
    <w:rsid w:val="2DB570E3"/>
    <w:rsid w:val="2DBB0A37"/>
    <w:rsid w:val="2DD35D80"/>
    <w:rsid w:val="2DDE0817"/>
    <w:rsid w:val="2DF12842"/>
    <w:rsid w:val="2E032E00"/>
    <w:rsid w:val="2E09167E"/>
    <w:rsid w:val="2E1420C6"/>
    <w:rsid w:val="2E195B6E"/>
    <w:rsid w:val="2E314855"/>
    <w:rsid w:val="2E3600BD"/>
    <w:rsid w:val="2E3A5DFF"/>
    <w:rsid w:val="2E456552"/>
    <w:rsid w:val="2E4865B6"/>
    <w:rsid w:val="2E4F2F2D"/>
    <w:rsid w:val="2E530C6F"/>
    <w:rsid w:val="2E5D5873"/>
    <w:rsid w:val="2E6D2EEE"/>
    <w:rsid w:val="2E6E5AA9"/>
    <w:rsid w:val="2E714081"/>
    <w:rsid w:val="2E717347"/>
    <w:rsid w:val="2E732B82"/>
    <w:rsid w:val="2E765F2D"/>
    <w:rsid w:val="2E7806D6"/>
    <w:rsid w:val="2E871EC5"/>
    <w:rsid w:val="2E8E7E04"/>
    <w:rsid w:val="2E9D6EE1"/>
    <w:rsid w:val="2EA4255F"/>
    <w:rsid w:val="2EAA5AFC"/>
    <w:rsid w:val="2EB229A3"/>
    <w:rsid w:val="2EB56351"/>
    <w:rsid w:val="2EBA0CEE"/>
    <w:rsid w:val="2EC15BD9"/>
    <w:rsid w:val="2EC21ABE"/>
    <w:rsid w:val="2EDA6C9B"/>
    <w:rsid w:val="2EE67D35"/>
    <w:rsid w:val="2EF212A4"/>
    <w:rsid w:val="2EF22236"/>
    <w:rsid w:val="2F00687B"/>
    <w:rsid w:val="2F05640D"/>
    <w:rsid w:val="2F0E4B96"/>
    <w:rsid w:val="2F255BC6"/>
    <w:rsid w:val="2F285EFD"/>
    <w:rsid w:val="2F2919D0"/>
    <w:rsid w:val="2F311536"/>
    <w:rsid w:val="2F3C6626"/>
    <w:rsid w:val="2F680C68"/>
    <w:rsid w:val="2F8337D6"/>
    <w:rsid w:val="2F885EDA"/>
    <w:rsid w:val="2FA15A0A"/>
    <w:rsid w:val="2FA774C5"/>
    <w:rsid w:val="2FB742F0"/>
    <w:rsid w:val="2FC40BB7"/>
    <w:rsid w:val="2FD23F6F"/>
    <w:rsid w:val="2FD45DE0"/>
    <w:rsid w:val="2FE83735"/>
    <w:rsid w:val="30211E8B"/>
    <w:rsid w:val="3026024B"/>
    <w:rsid w:val="30264BFA"/>
    <w:rsid w:val="30294001"/>
    <w:rsid w:val="30313D4F"/>
    <w:rsid w:val="30367D92"/>
    <w:rsid w:val="306A5204"/>
    <w:rsid w:val="306C4BB2"/>
    <w:rsid w:val="30712165"/>
    <w:rsid w:val="30782C0F"/>
    <w:rsid w:val="307942AC"/>
    <w:rsid w:val="30A6321E"/>
    <w:rsid w:val="30BE40CA"/>
    <w:rsid w:val="30C43286"/>
    <w:rsid w:val="30C80A04"/>
    <w:rsid w:val="30CD4D80"/>
    <w:rsid w:val="30D51E0F"/>
    <w:rsid w:val="30E42053"/>
    <w:rsid w:val="30E43E01"/>
    <w:rsid w:val="30EB2FEF"/>
    <w:rsid w:val="30F2476F"/>
    <w:rsid w:val="310B0673"/>
    <w:rsid w:val="310B4186"/>
    <w:rsid w:val="3115045E"/>
    <w:rsid w:val="312C4B25"/>
    <w:rsid w:val="312D2F3B"/>
    <w:rsid w:val="3143010D"/>
    <w:rsid w:val="31442AF1"/>
    <w:rsid w:val="31556AAC"/>
    <w:rsid w:val="31560E1F"/>
    <w:rsid w:val="315947EF"/>
    <w:rsid w:val="315F677D"/>
    <w:rsid w:val="315F7426"/>
    <w:rsid w:val="318557F4"/>
    <w:rsid w:val="318A49A8"/>
    <w:rsid w:val="318B084C"/>
    <w:rsid w:val="319F418B"/>
    <w:rsid w:val="31B9703B"/>
    <w:rsid w:val="31BA162F"/>
    <w:rsid w:val="31BC58DA"/>
    <w:rsid w:val="31CF685F"/>
    <w:rsid w:val="31D05607"/>
    <w:rsid w:val="31D64091"/>
    <w:rsid w:val="31DC648B"/>
    <w:rsid w:val="31E4216D"/>
    <w:rsid w:val="31F41247"/>
    <w:rsid w:val="32011CC2"/>
    <w:rsid w:val="32073C31"/>
    <w:rsid w:val="320F30FF"/>
    <w:rsid w:val="32130E41"/>
    <w:rsid w:val="3216601A"/>
    <w:rsid w:val="321F6F3E"/>
    <w:rsid w:val="32523C64"/>
    <w:rsid w:val="325C214D"/>
    <w:rsid w:val="3260156B"/>
    <w:rsid w:val="327326C8"/>
    <w:rsid w:val="327537CB"/>
    <w:rsid w:val="32800130"/>
    <w:rsid w:val="328F5FEE"/>
    <w:rsid w:val="329073F0"/>
    <w:rsid w:val="329626E8"/>
    <w:rsid w:val="32985759"/>
    <w:rsid w:val="32A73338"/>
    <w:rsid w:val="32CB5278"/>
    <w:rsid w:val="32D86AF0"/>
    <w:rsid w:val="32DF6F75"/>
    <w:rsid w:val="32E7122B"/>
    <w:rsid w:val="33083F4F"/>
    <w:rsid w:val="330975AD"/>
    <w:rsid w:val="3313472E"/>
    <w:rsid w:val="33187C70"/>
    <w:rsid w:val="333C07CD"/>
    <w:rsid w:val="333E1EEE"/>
    <w:rsid w:val="3353526D"/>
    <w:rsid w:val="336F6778"/>
    <w:rsid w:val="33755B45"/>
    <w:rsid w:val="33822C8E"/>
    <w:rsid w:val="33837901"/>
    <w:rsid w:val="33896EE1"/>
    <w:rsid w:val="338C1032"/>
    <w:rsid w:val="338E1ABF"/>
    <w:rsid w:val="339F03D8"/>
    <w:rsid w:val="33AB6E58"/>
    <w:rsid w:val="33AF2936"/>
    <w:rsid w:val="33C646E5"/>
    <w:rsid w:val="33CD3146"/>
    <w:rsid w:val="33D75E9F"/>
    <w:rsid w:val="33E30E2E"/>
    <w:rsid w:val="33E31994"/>
    <w:rsid w:val="33E705A6"/>
    <w:rsid w:val="33F14E3F"/>
    <w:rsid w:val="33F26834"/>
    <w:rsid w:val="33F64577"/>
    <w:rsid w:val="33F95E15"/>
    <w:rsid w:val="33FE78CF"/>
    <w:rsid w:val="340C33DD"/>
    <w:rsid w:val="340D7B12"/>
    <w:rsid w:val="34114EF1"/>
    <w:rsid w:val="341E587B"/>
    <w:rsid w:val="342A6C20"/>
    <w:rsid w:val="344078BE"/>
    <w:rsid w:val="3444393C"/>
    <w:rsid w:val="34582D9B"/>
    <w:rsid w:val="346339D3"/>
    <w:rsid w:val="346D11E9"/>
    <w:rsid w:val="34781430"/>
    <w:rsid w:val="34897199"/>
    <w:rsid w:val="348B1120"/>
    <w:rsid w:val="34B166F0"/>
    <w:rsid w:val="34B41D3C"/>
    <w:rsid w:val="34B51CEA"/>
    <w:rsid w:val="34B61205"/>
    <w:rsid w:val="34BB756E"/>
    <w:rsid w:val="34D80120"/>
    <w:rsid w:val="34DD22A2"/>
    <w:rsid w:val="34E708D8"/>
    <w:rsid w:val="35093AFE"/>
    <w:rsid w:val="350C5BFD"/>
    <w:rsid w:val="350D68A4"/>
    <w:rsid w:val="351A4295"/>
    <w:rsid w:val="35282157"/>
    <w:rsid w:val="35342063"/>
    <w:rsid w:val="3539208F"/>
    <w:rsid w:val="35402701"/>
    <w:rsid w:val="355E42CD"/>
    <w:rsid w:val="356045B4"/>
    <w:rsid w:val="35721391"/>
    <w:rsid w:val="358B6F41"/>
    <w:rsid w:val="3595660F"/>
    <w:rsid w:val="35A1441D"/>
    <w:rsid w:val="35A3072E"/>
    <w:rsid w:val="35A36BA9"/>
    <w:rsid w:val="35A864EE"/>
    <w:rsid w:val="35AB2FB9"/>
    <w:rsid w:val="35AF1E34"/>
    <w:rsid w:val="35B24C0F"/>
    <w:rsid w:val="35BE10C4"/>
    <w:rsid w:val="35BF0C77"/>
    <w:rsid w:val="35C45F10"/>
    <w:rsid w:val="35CB1A33"/>
    <w:rsid w:val="35CC4DB5"/>
    <w:rsid w:val="35CD1665"/>
    <w:rsid w:val="35D54660"/>
    <w:rsid w:val="35DC3C62"/>
    <w:rsid w:val="35E23DB4"/>
    <w:rsid w:val="35F05C1F"/>
    <w:rsid w:val="35F40F8A"/>
    <w:rsid w:val="360D5BA8"/>
    <w:rsid w:val="36160F00"/>
    <w:rsid w:val="361F01FC"/>
    <w:rsid w:val="362B4280"/>
    <w:rsid w:val="3641301F"/>
    <w:rsid w:val="3642682E"/>
    <w:rsid w:val="36464FBD"/>
    <w:rsid w:val="36511F38"/>
    <w:rsid w:val="36516C26"/>
    <w:rsid w:val="365236A5"/>
    <w:rsid w:val="36575075"/>
    <w:rsid w:val="365D53C4"/>
    <w:rsid w:val="366152F0"/>
    <w:rsid w:val="366E2AEA"/>
    <w:rsid w:val="36743E79"/>
    <w:rsid w:val="368045CB"/>
    <w:rsid w:val="368A544A"/>
    <w:rsid w:val="369260AD"/>
    <w:rsid w:val="369E0933"/>
    <w:rsid w:val="36A12B0B"/>
    <w:rsid w:val="36B73E8E"/>
    <w:rsid w:val="36BB3856"/>
    <w:rsid w:val="36C66E7F"/>
    <w:rsid w:val="36CE76B4"/>
    <w:rsid w:val="36E917D0"/>
    <w:rsid w:val="36EA7ADF"/>
    <w:rsid w:val="36F94955"/>
    <w:rsid w:val="37124F38"/>
    <w:rsid w:val="371A67CE"/>
    <w:rsid w:val="371B6954"/>
    <w:rsid w:val="37213E95"/>
    <w:rsid w:val="372C6596"/>
    <w:rsid w:val="373871D6"/>
    <w:rsid w:val="373D3165"/>
    <w:rsid w:val="375236D2"/>
    <w:rsid w:val="375F68D7"/>
    <w:rsid w:val="377171EA"/>
    <w:rsid w:val="377C3ECB"/>
    <w:rsid w:val="378A7138"/>
    <w:rsid w:val="379248A0"/>
    <w:rsid w:val="37932854"/>
    <w:rsid w:val="37B179ED"/>
    <w:rsid w:val="37B41BB8"/>
    <w:rsid w:val="37D57228"/>
    <w:rsid w:val="37D75964"/>
    <w:rsid w:val="37E1553E"/>
    <w:rsid w:val="37E1569C"/>
    <w:rsid w:val="37F306BF"/>
    <w:rsid w:val="38001ED1"/>
    <w:rsid w:val="3803601A"/>
    <w:rsid w:val="3819551A"/>
    <w:rsid w:val="381F352A"/>
    <w:rsid w:val="3847466B"/>
    <w:rsid w:val="38591D85"/>
    <w:rsid w:val="38592295"/>
    <w:rsid w:val="38635F18"/>
    <w:rsid w:val="3866602B"/>
    <w:rsid w:val="388C54AA"/>
    <w:rsid w:val="38913584"/>
    <w:rsid w:val="38976D75"/>
    <w:rsid w:val="389F7D6B"/>
    <w:rsid w:val="38AF1C10"/>
    <w:rsid w:val="38B36EDA"/>
    <w:rsid w:val="38B808C3"/>
    <w:rsid w:val="38BF587F"/>
    <w:rsid w:val="38C34C43"/>
    <w:rsid w:val="38CF35E8"/>
    <w:rsid w:val="38EA0710"/>
    <w:rsid w:val="3902751A"/>
    <w:rsid w:val="39047696"/>
    <w:rsid w:val="39240622"/>
    <w:rsid w:val="39253208"/>
    <w:rsid w:val="39283DA4"/>
    <w:rsid w:val="392F76D8"/>
    <w:rsid w:val="39365726"/>
    <w:rsid w:val="394F7066"/>
    <w:rsid w:val="39597D4F"/>
    <w:rsid w:val="396114D2"/>
    <w:rsid w:val="396B387A"/>
    <w:rsid w:val="396D3661"/>
    <w:rsid w:val="39730361"/>
    <w:rsid w:val="39A7581F"/>
    <w:rsid w:val="39B45E15"/>
    <w:rsid w:val="39BD08D9"/>
    <w:rsid w:val="39DA7253"/>
    <w:rsid w:val="39DB1AC1"/>
    <w:rsid w:val="39E3734B"/>
    <w:rsid w:val="39F006E1"/>
    <w:rsid w:val="3A0B0650"/>
    <w:rsid w:val="3A0D43C8"/>
    <w:rsid w:val="3A245C89"/>
    <w:rsid w:val="3A2F2590"/>
    <w:rsid w:val="3A306308"/>
    <w:rsid w:val="3A331955"/>
    <w:rsid w:val="3A3842B5"/>
    <w:rsid w:val="3A4565F7"/>
    <w:rsid w:val="3A4B3142"/>
    <w:rsid w:val="3A506499"/>
    <w:rsid w:val="3A517A10"/>
    <w:rsid w:val="3A5817D0"/>
    <w:rsid w:val="3A5C0EAC"/>
    <w:rsid w:val="3A655FB2"/>
    <w:rsid w:val="3A7601BF"/>
    <w:rsid w:val="3A8C1648"/>
    <w:rsid w:val="3A951635"/>
    <w:rsid w:val="3A970136"/>
    <w:rsid w:val="3A995C5C"/>
    <w:rsid w:val="3AAB24CE"/>
    <w:rsid w:val="3AC13120"/>
    <w:rsid w:val="3ACF167E"/>
    <w:rsid w:val="3AD60C5E"/>
    <w:rsid w:val="3AD87DDA"/>
    <w:rsid w:val="3ADE3FB6"/>
    <w:rsid w:val="3AE67062"/>
    <w:rsid w:val="3B0357CB"/>
    <w:rsid w:val="3B284C72"/>
    <w:rsid w:val="3B2C087E"/>
    <w:rsid w:val="3B365FB0"/>
    <w:rsid w:val="3B3911ED"/>
    <w:rsid w:val="3B4E242B"/>
    <w:rsid w:val="3B503C74"/>
    <w:rsid w:val="3B550E3B"/>
    <w:rsid w:val="3B7346FF"/>
    <w:rsid w:val="3B950BFF"/>
    <w:rsid w:val="3B9F31C8"/>
    <w:rsid w:val="3BB03BF7"/>
    <w:rsid w:val="3BB50022"/>
    <w:rsid w:val="3BCF7766"/>
    <w:rsid w:val="3BD65326"/>
    <w:rsid w:val="3BD8254B"/>
    <w:rsid w:val="3BDA7C60"/>
    <w:rsid w:val="3BDC02D0"/>
    <w:rsid w:val="3BEF0201"/>
    <w:rsid w:val="3BF104FE"/>
    <w:rsid w:val="3BF66D83"/>
    <w:rsid w:val="3BF84B4D"/>
    <w:rsid w:val="3C157564"/>
    <w:rsid w:val="3C1761A4"/>
    <w:rsid w:val="3C19472E"/>
    <w:rsid w:val="3C21415B"/>
    <w:rsid w:val="3C29300F"/>
    <w:rsid w:val="3C2A7DBB"/>
    <w:rsid w:val="3C325D4E"/>
    <w:rsid w:val="3C3605B2"/>
    <w:rsid w:val="3C3E4D0D"/>
    <w:rsid w:val="3C5D26C1"/>
    <w:rsid w:val="3C746798"/>
    <w:rsid w:val="3C8F4500"/>
    <w:rsid w:val="3C907365"/>
    <w:rsid w:val="3CB84E24"/>
    <w:rsid w:val="3CBB5732"/>
    <w:rsid w:val="3CBE19AA"/>
    <w:rsid w:val="3CC72F54"/>
    <w:rsid w:val="3CD45476"/>
    <w:rsid w:val="3CE37662"/>
    <w:rsid w:val="3CF6787D"/>
    <w:rsid w:val="3CFF6F43"/>
    <w:rsid w:val="3D1B4222"/>
    <w:rsid w:val="3D271C45"/>
    <w:rsid w:val="3D3E2AEA"/>
    <w:rsid w:val="3D3F5D90"/>
    <w:rsid w:val="3D4445A5"/>
    <w:rsid w:val="3D566086"/>
    <w:rsid w:val="3D5B369C"/>
    <w:rsid w:val="3D64063B"/>
    <w:rsid w:val="3D7D0CCA"/>
    <w:rsid w:val="3D961AC9"/>
    <w:rsid w:val="3DA6700D"/>
    <w:rsid w:val="3DBB413B"/>
    <w:rsid w:val="3DE54BF1"/>
    <w:rsid w:val="3DEB2C72"/>
    <w:rsid w:val="3DF00289"/>
    <w:rsid w:val="3DF16F67"/>
    <w:rsid w:val="3DFE0BF8"/>
    <w:rsid w:val="3E0B3FDF"/>
    <w:rsid w:val="3E105D74"/>
    <w:rsid w:val="3E162705"/>
    <w:rsid w:val="3E2831C9"/>
    <w:rsid w:val="3E284F59"/>
    <w:rsid w:val="3E2C4797"/>
    <w:rsid w:val="3E3856DC"/>
    <w:rsid w:val="3E416033"/>
    <w:rsid w:val="3E4203B8"/>
    <w:rsid w:val="3E4800C5"/>
    <w:rsid w:val="3E4A390D"/>
    <w:rsid w:val="3E51016A"/>
    <w:rsid w:val="3E6A3B12"/>
    <w:rsid w:val="3E6A6D5E"/>
    <w:rsid w:val="3E6E73FF"/>
    <w:rsid w:val="3E774506"/>
    <w:rsid w:val="3E7977C6"/>
    <w:rsid w:val="3E810EE1"/>
    <w:rsid w:val="3E906080"/>
    <w:rsid w:val="3E9774AF"/>
    <w:rsid w:val="3EA02B28"/>
    <w:rsid w:val="3EA76402"/>
    <w:rsid w:val="3EB5502E"/>
    <w:rsid w:val="3EB62D7B"/>
    <w:rsid w:val="3EB63280"/>
    <w:rsid w:val="3EDA6843"/>
    <w:rsid w:val="3EDB4A95"/>
    <w:rsid w:val="3EE6343A"/>
    <w:rsid w:val="3F0B77DC"/>
    <w:rsid w:val="3F1B49F5"/>
    <w:rsid w:val="3F221C11"/>
    <w:rsid w:val="3F24677A"/>
    <w:rsid w:val="3F2D2586"/>
    <w:rsid w:val="3F3A21A7"/>
    <w:rsid w:val="3F436D87"/>
    <w:rsid w:val="3F60143E"/>
    <w:rsid w:val="3F6C7EC6"/>
    <w:rsid w:val="3F6E6E10"/>
    <w:rsid w:val="3F8167E7"/>
    <w:rsid w:val="3F8F7060"/>
    <w:rsid w:val="3F980C29"/>
    <w:rsid w:val="3FA50363"/>
    <w:rsid w:val="3FB16C3C"/>
    <w:rsid w:val="3FBD2448"/>
    <w:rsid w:val="3FC574F3"/>
    <w:rsid w:val="3FD339BE"/>
    <w:rsid w:val="3FE738B2"/>
    <w:rsid w:val="3FFA719D"/>
    <w:rsid w:val="40091C75"/>
    <w:rsid w:val="4019365F"/>
    <w:rsid w:val="40224FF7"/>
    <w:rsid w:val="40285066"/>
    <w:rsid w:val="403012F2"/>
    <w:rsid w:val="404228F2"/>
    <w:rsid w:val="405404C3"/>
    <w:rsid w:val="405C1C05"/>
    <w:rsid w:val="40662A84"/>
    <w:rsid w:val="40694322"/>
    <w:rsid w:val="407A5D0E"/>
    <w:rsid w:val="408B03DB"/>
    <w:rsid w:val="40AB493B"/>
    <w:rsid w:val="40BD5458"/>
    <w:rsid w:val="40DF62AB"/>
    <w:rsid w:val="40ED0E83"/>
    <w:rsid w:val="40FC0844"/>
    <w:rsid w:val="410B7187"/>
    <w:rsid w:val="41211D3E"/>
    <w:rsid w:val="41266EFE"/>
    <w:rsid w:val="41321A54"/>
    <w:rsid w:val="413D3C7B"/>
    <w:rsid w:val="41533B0A"/>
    <w:rsid w:val="41537FA1"/>
    <w:rsid w:val="415428DD"/>
    <w:rsid w:val="41630D72"/>
    <w:rsid w:val="41925231"/>
    <w:rsid w:val="41A539DA"/>
    <w:rsid w:val="41A6340D"/>
    <w:rsid w:val="41A729E4"/>
    <w:rsid w:val="41A8413B"/>
    <w:rsid w:val="41B4061C"/>
    <w:rsid w:val="41BD351D"/>
    <w:rsid w:val="41BD3D13"/>
    <w:rsid w:val="41C01772"/>
    <w:rsid w:val="41E7246F"/>
    <w:rsid w:val="41F31DED"/>
    <w:rsid w:val="41F40C0F"/>
    <w:rsid w:val="41F61BE6"/>
    <w:rsid w:val="41FF0A9A"/>
    <w:rsid w:val="42163DEE"/>
    <w:rsid w:val="42186752"/>
    <w:rsid w:val="421C44D4"/>
    <w:rsid w:val="42224E7A"/>
    <w:rsid w:val="422844D6"/>
    <w:rsid w:val="422C3DDB"/>
    <w:rsid w:val="422D35E0"/>
    <w:rsid w:val="422D7714"/>
    <w:rsid w:val="423E1F55"/>
    <w:rsid w:val="42477FAE"/>
    <w:rsid w:val="42521512"/>
    <w:rsid w:val="425A6E5E"/>
    <w:rsid w:val="426822CE"/>
    <w:rsid w:val="426B6130"/>
    <w:rsid w:val="426E79CE"/>
    <w:rsid w:val="42726422"/>
    <w:rsid w:val="42756A89"/>
    <w:rsid w:val="427D4FF1"/>
    <w:rsid w:val="428A1387"/>
    <w:rsid w:val="429D6AE7"/>
    <w:rsid w:val="42B859E4"/>
    <w:rsid w:val="42B86C2F"/>
    <w:rsid w:val="42C45840"/>
    <w:rsid w:val="42CF7B8D"/>
    <w:rsid w:val="42D45AFD"/>
    <w:rsid w:val="42D75C1E"/>
    <w:rsid w:val="42DD75A0"/>
    <w:rsid w:val="42E70ED8"/>
    <w:rsid w:val="43030A5E"/>
    <w:rsid w:val="4315568C"/>
    <w:rsid w:val="432E623E"/>
    <w:rsid w:val="43386769"/>
    <w:rsid w:val="433D4D56"/>
    <w:rsid w:val="433E016E"/>
    <w:rsid w:val="434D0DFA"/>
    <w:rsid w:val="4355293C"/>
    <w:rsid w:val="435B43F6"/>
    <w:rsid w:val="435B549A"/>
    <w:rsid w:val="436123DC"/>
    <w:rsid w:val="4369198B"/>
    <w:rsid w:val="436D237B"/>
    <w:rsid w:val="436F5E02"/>
    <w:rsid w:val="43763B26"/>
    <w:rsid w:val="437E6337"/>
    <w:rsid w:val="438B14CF"/>
    <w:rsid w:val="439A302D"/>
    <w:rsid w:val="43A062AD"/>
    <w:rsid w:val="43A777F2"/>
    <w:rsid w:val="43AB096E"/>
    <w:rsid w:val="43AF64F0"/>
    <w:rsid w:val="43C70CA9"/>
    <w:rsid w:val="43CF6B92"/>
    <w:rsid w:val="43D811ED"/>
    <w:rsid w:val="43F959BD"/>
    <w:rsid w:val="43FC68DB"/>
    <w:rsid w:val="43FF153D"/>
    <w:rsid w:val="44056E0E"/>
    <w:rsid w:val="440F6F8F"/>
    <w:rsid w:val="441B74E4"/>
    <w:rsid w:val="441F4FB4"/>
    <w:rsid w:val="44302D15"/>
    <w:rsid w:val="443747DF"/>
    <w:rsid w:val="44446810"/>
    <w:rsid w:val="444B13A0"/>
    <w:rsid w:val="444E3F5B"/>
    <w:rsid w:val="44590106"/>
    <w:rsid w:val="445C7377"/>
    <w:rsid w:val="446C369C"/>
    <w:rsid w:val="446D6546"/>
    <w:rsid w:val="44734C8F"/>
    <w:rsid w:val="449D4DB3"/>
    <w:rsid w:val="44A1314C"/>
    <w:rsid w:val="44A3167A"/>
    <w:rsid w:val="44AE0556"/>
    <w:rsid w:val="44B11B13"/>
    <w:rsid w:val="44BC0429"/>
    <w:rsid w:val="44BF3BE1"/>
    <w:rsid w:val="44CB735A"/>
    <w:rsid w:val="44DC1567"/>
    <w:rsid w:val="44E30719"/>
    <w:rsid w:val="44EB17AA"/>
    <w:rsid w:val="45024738"/>
    <w:rsid w:val="451609F0"/>
    <w:rsid w:val="45185DAE"/>
    <w:rsid w:val="45256EDC"/>
    <w:rsid w:val="453413AE"/>
    <w:rsid w:val="45361ED8"/>
    <w:rsid w:val="45372C41"/>
    <w:rsid w:val="454C374A"/>
    <w:rsid w:val="45570BED"/>
    <w:rsid w:val="455A2E1C"/>
    <w:rsid w:val="45626232"/>
    <w:rsid w:val="45633E60"/>
    <w:rsid w:val="45806E8F"/>
    <w:rsid w:val="459C4852"/>
    <w:rsid w:val="45C14A74"/>
    <w:rsid w:val="45C46DF6"/>
    <w:rsid w:val="45C63E87"/>
    <w:rsid w:val="45CF4C28"/>
    <w:rsid w:val="45EB3A89"/>
    <w:rsid w:val="46044FA9"/>
    <w:rsid w:val="46082526"/>
    <w:rsid w:val="46144D30"/>
    <w:rsid w:val="462E2D52"/>
    <w:rsid w:val="462F0492"/>
    <w:rsid w:val="46331E69"/>
    <w:rsid w:val="4634135A"/>
    <w:rsid w:val="46357180"/>
    <w:rsid w:val="464A0752"/>
    <w:rsid w:val="466E61EE"/>
    <w:rsid w:val="467D3578"/>
    <w:rsid w:val="467F15E2"/>
    <w:rsid w:val="468339A9"/>
    <w:rsid w:val="468E063F"/>
    <w:rsid w:val="469179F0"/>
    <w:rsid w:val="469D6A32"/>
    <w:rsid w:val="46A14FA7"/>
    <w:rsid w:val="46A203C9"/>
    <w:rsid w:val="46A64B26"/>
    <w:rsid w:val="46B30DE6"/>
    <w:rsid w:val="46BA1434"/>
    <w:rsid w:val="46C422B2"/>
    <w:rsid w:val="46CC3234"/>
    <w:rsid w:val="46CF623B"/>
    <w:rsid w:val="46D22C21"/>
    <w:rsid w:val="46F27F3A"/>
    <w:rsid w:val="46FE2D34"/>
    <w:rsid w:val="46FE762D"/>
    <w:rsid w:val="470E10B4"/>
    <w:rsid w:val="4710374A"/>
    <w:rsid w:val="47121270"/>
    <w:rsid w:val="47222EC2"/>
    <w:rsid w:val="472471F5"/>
    <w:rsid w:val="472C609B"/>
    <w:rsid w:val="47322E57"/>
    <w:rsid w:val="473F0882"/>
    <w:rsid w:val="47484C91"/>
    <w:rsid w:val="475047D3"/>
    <w:rsid w:val="47527B35"/>
    <w:rsid w:val="475413C8"/>
    <w:rsid w:val="475573AE"/>
    <w:rsid w:val="47627C58"/>
    <w:rsid w:val="47660C5A"/>
    <w:rsid w:val="47794E4B"/>
    <w:rsid w:val="478C7274"/>
    <w:rsid w:val="47907431"/>
    <w:rsid w:val="47A20030"/>
    <w:rsid w:val="47A82C6B"/>
    <w:rsid w:val="47C123AA"/>
    <w:rsid w:val="47C167F2"/>
    <w:rsid w:val="47C242DD"/>
    <w:rsid w:val="47C26126"/>
    <w:rsid w:val="47D43898"/>
    <w:rsid w:val="47D567FA"/>
    <w:rsid w:val="47E10C42"/>
    <w:rsid w:val="47EA5859"/>
    <w:rsid w:val="47F82F13"/>
    <w:rsid w:val="480938B1"/>
    <w:rsid w:val="480C2163"/>
    <w:rsid w:val="480C3F11"/>
    <w:rsid w:val="48210086"/>
    <w:rsid w:val="4822706F"/>
    <w:rsid w:val="482F291D"/>
    <w:rsid w:val="482F33B1"/>
    <w:rsid w:val="48360F8E"/>
    <w:rsid w:val="48382F58"/>
    <w:rsid w:val="483962F8"/>
    <w:rsid w:val="4840005F"/>
    <w:rsid w:val="484C255F"/>
    <w:rsid w:val="48926BEB"/>
    <w:rsid w:val="489839F7"/>
    <w:rsid w:val="48A405ED"/>
    <w:rsid w:val="48AB7D14"/>
    <w:rsid w:val="48B124D9"/>
    <w:rsid w:val="48E60A5B"/>
    <w:rsid w:val="48F22A28"/>
    <w:rsid w:val="490642A5"/>
    <w:rsid w:val="49115557"/>
    <w:rsid w:val="49164022"/>
    <w:rsid w:val="49227202"/>
    <w:rsid w:val="492A71E6"/>
    <w:rsid w:val="492C3DA5"/>
    <w:rsid w:val="494857A1"/>
    <w:rsid w:val="49516891"/>
    <w:rsid w:val="4952759F"/>
    <w:rsid w:val="4959670F"/>
    <w:rsid w:val="4977360C"/>
    <w:rsid w:val="49777AB0"/>
    <w:rsid w:val="498A77E3"/>
    <w:rsid w:val="498D32BC"/>
    <w:rsid w:val="49924CF1"/>
    <w:rsid w:val="499F0334"/>
    <w:rsid w:val="49A63CFB"/>
    <w:rsid w:val="49B410A5"/>
    <w:rsid w:val="49B52386"/>
    <w:rsid w:val="49BC291B"/>
    <w:rsid w:val="49F4421A"/>
    <w:rsid w:val="4A0F4540"/>
    <w:rsid w:val="4A216D1C"/>
    <w:rsid w:val="4A297B2E"/>
    <w:rsid w:val="4A312490"/>
    <w:rsid w:val="4A407EA2"/>
    <w:rsid w:val="4A4200BE"/>
    <w:rsid w:val="4A4236FE"/>
    <w:rsid w:val="4A472C59"/>
    <w:rsid w:val="4A5E57F2"/>
    <w:rsid w:val="4A5F43BB"/>
    <w:rsid w:val="4A654FB7"/>
    <w:rsid w:val="4A6A26B5"/>
    <w:rsid w:val="4A882C23"/>
    <w:rsid w:val="4A9C04FA"/>
    <w:rsid w:val="4AC079A4"/>
    <w:rsid w:val="4AC36345"/>
    <w:rsid w:val="4AC4377F"/>
    <w:rsid w:val="4AC565F9"/>
    <w:rsid w:val="4AC815EF"/>
    <w:rsid w:val="4AF21538"/>
    <w:rsid w:val="4AF84C20"/>
    <w:rsid w:val="4B0836C7"/>
    <w:rsid w:val="4B0E369D"/>
    <w:rsid w:val="4B2961F8"/>
    <w:rsid w:val="4B3F2425"/>
    <w:rsid w:val="4B4245AA"/>
    <w:rsid w:val="4B5C522D"/>
    <w:rsid w:val="4B5C7608"/>
    <w:rsid w:val="4B645E12"/>
    <w:rsid w:val="4B6B233E"/>
    <w:rsid w:val="4B7B3B57"/>
    <w:rsid w:val="4B7E3D4C"/>
    <w:rsid w:val="4B820380"/>
    <w:rsid w:val="4B895879"/>
    <w:rsid w:val="4B906C07"/>
    <w:rsid w:val="4B9C25B4"/>
    <w:rsid w:val="4B9F32EE"/>
    <w:rsid w:val="4BB20419"/>
    <w:rsid w:val="4BB56E30"/>
    <w:rsid w:val="4BBA6677"/>
    <w:rsid w:val="4BBE4100"/>
    <w:rsid w:val="4BC468B1"/>
    <w:rsid w:val="4BCA036B"/>
    <w:rsid w:val="4BCF3BD3"/>
    <w:rsid w:val="4BD20FCE"/>
    <w:rsid w:val="4BD372A3"/>
    <w:rsid w:val="4BDE05E3"/>
    <w:rsid w:val="4BE612C7"/>
    <w:rsid w:val="4BE928B1"/>
    <w:rsid w:val="4BEF7DD1"/>
    <w:rsid w:val="4BF16188"/>
    <w:rsid w:val="4BFC429C"/>
    <w:rsid w:val="4C170309"/>
    <w:rsid w:val="4C176F5D"/>
    <w:rsid w:val="4C215AB1"/>
    <w:rsid w:val="4C224C30"/>
    <w:rsid w:val="4C2757BD"/>
    <w:rsid w:val="4C2A2BB8"/>
    <w:rsid w:val="4C320168"/>
    <w:rsid w:val="4C3755BF"/>
    <w:rsid w:val="4C3A00D4"/>
    <w:rsid w:val="4C432F7A"/>
    <w:rsid w:val="4C443E23"/>
    <w:rsid w:val="4C453E95"/>
    <w:rsid w:val="4C4F1E34"/>
    <w:rsid w:val="4C55613E"/>
    <w:rsid w:val="4C6360CA"/>
    <w:rsid w:val="4C6A56AA"/>
    <w:rsid w:val="4C7700F4"/>
    <w:rsid w:val="4C7B3413"/>
    <w:rsid w:val="4C7D53DD"/>
    <w:rsid w:val="4C8113E7"/>
    <w:rsid w:val="4C856040"/>
    <w:rsid w:val="4C880CB4"/>
    <w:rsid w:val="4C8C0BFE"/>
    <w:rsid w:val="4CB22BAD"/>
    <w:rsid w:val="4CB5785E"/>
    <w:rsid w:val="4CC4300C"/>
    <w:rsid w:val="4CDA2CD4"/>
    <w:rsid w:val="4CDF7E46"/>
    <w:rsid w:val="4CE76CFB"/>
    <w:rsid w:val="4D0B72A7"/>
    <w:rsid w:val="4D113372"/>
    <w:rsid w:val="4D151ABA"/>
    <w:rsid w:val="4D1D0EC2"/>
    <w:rsid w:val="4D225F85"/>
    <w:rsid w:val="4D36558C"/>
    <w:rsid w:val="4D3C4874"/>
    <w:rsid w:val="4D4A4B13"/>
    <w:rsid w:val="4D4C2F0D"/>
    <w:rsid w:val="4D5A74CD"/>
    <w:rsid w:val="4D5C402F"/>
    <w:rsid w:val="4D654BD1"/>
    <w:rsid w:val="4D655F0C"/>
    <w:rsid w:val="4D671BE9"/>
    <w:rsid w:val="4D7D2968"/>
    <w:rsid w:val="4D7E60BB"/>
    <w:rsid w:val="4D886CC5"/>
    <w:rsid w:val="4DA81EC2"/>
    <w:rsid w:val="4DAE79BF"/>
    <w:rsid w:val="4DB82445"/>
    <w:rsid w:val="4DDA3F11"/>
    <w:rsid w:val="4DE374C2"/>
    <w:rsid w:val="4DFC0BD5"/>
    <w:rsid w:val="4E097CA3"/>
    <w:rsid w:val="4E1458CD"/>
    <w:rsid w:val="4E204980"/>
    <w:rsid w:val="4E265601"/>
    <w:rsid w:val="4E3236C0"/>
    <w:rsid w:val="4E3C6BD2"/>
    <w:rsid w:val="4E40227E"/>
    <w:rsid w:val="4E430F51"/>
    <w:rsid w:val="4E4A1167"/>
    <w:rsid w:val="4E4F3F85"/>
    <w:rsid w:val="4E6603D3"/>
    <w:rsid w:val="4E6F2454"/>
    <w:rsid w:val="4E7B1919"/>
    <w:rsid w:val="4E7D41AC"/>
    <w:rsid w:val="4EA12ED9"/>
    <w:rsid w:val="4EC808DB"/>
    <w:rsid w:val="4ECE137E"/>
    <w:rsid w:val="4EEC684A"/>
    <w:rsid w:val="4F00329E"/>
    <w:rsid w:val="4F040656"/>
    <w:rsid w:val="4F05790C"/>
    <w:rsid w:val="4F0D5512"/>
    <w:rsid w:val="4F0E4337"/>
    <w:rsid w:val="4F1F277C"/>
    <w:rsid w:val="4F293E28"/>
    <w:rsid w:val="4F2A2ECF"/>
    <w:rsid w:val="4F3518D6"/>
    <w:rsid w:val="4F507F73"/>
    <w:rsid w:val="4F600E84"/>
    <w:rsid w:val="4F6C34E7"/>
    <w:rsid w:val="4F6D1F57"/>
    <w:rsid w:val="4F87032F"/>
    <w:rsid w:val="4F9F1B0F"/>
    <w:rsid w:val="4F9F38BD"/>
    <w:rsid w:val="4FA2515B"/>
    <w:rsid w:val="4FA345DA"/>
    <w:rsid w:val="4FA62E9D"/>
    <w:rsid w:val="4FAD177A"/>
    <w:rsid w:val="4FB025CF"/>
    <w:rsid w:val="4FBC11E7"/>
    <w:rsid w:val="4FC33B8C"/>
    <w:rsid w:val="4FCF3870"/>
    <w:rsid w:val="4FD74E04"/>
    <w:rsid w:val="4FD954DF"/>
    <w:rsid w:val="4FE02C14"/>
    <w:rsid w:val="4FE237A9"/>
    <w:rsid w:val="4FFA0AF3"/>
    <w:rsid w:val="4FFC1EA6"/>
    <w:rsid w:val="4FFD7048"/>
    <w:rsid w:val="500E2A69"/>
    <w:rsid w:val="501415E9"/>
    <w:rsid w:val="5014473A"/>
    <w:rsid w:val="501740DB"/>
    <w:rsid w:val="50181FCA"/>
    <w:rsid w:val="50245C76"/>
    <w:rsid w:val="502D711A"/>
    <w:rsid w:val="504A0BE3"/>
    <w:rsid w:val="504A1A7A"/>
    <w:rsid w:val="504D1810"/>
    <w:rsid w:val="50615016"/>
    <w:rsid w:val="5072696E"/>
    <w:rsid w:val="5077330A"/>
    <w:rsid w:val="5078283D"/>
    <w:rsid w:val="50885363"/>
    <w:rsid w:val="50AC58E9"/>
    <w:rsid w:val="50AE0AA6"/>
    <w:rsid w:val="50AF6AED"/>
    <w:rsid w:val="50B505B7"/>
    <w:rsid w:val="50C60CDA"/>
    <w:rsid w:val="50FC5E84"/>
    <w:rsid w:val="511863FA"/>
    <w:rsid w:val="511C5410"/>
    <w:rsid w:val="5121004B"/>
    <w:rsid w:val="51256043"/>
    <w:rsid w:val="51381999"/>
    <w:rsid w:val="514C35D0"/>
    <w:rsid w:val="51537E33"/>
    <w:rsid w:val="516E2239"/>
    <w:rsid w:val="51750D79"/>
    <w:rsid w:val="517B2107"/>
    <w:rsid w:val="51870AAC"/>
    <w:rsid w:val="51992994"/>
    <w:rsid w:val="51A6334A"/>
    <w:rsid w:val="51B459E2"/>
    <w:rsid w:val="51BA0669"/>
    <w:rsid w:val="51BB2C9B"/>
    <w:rsid w:val="51C57F1A"/>
    <w:rsid w:val="51CA0179"/>
    <w:rsid w:val="51D06AAB"/>
    <w:rsid w:val="51DA0C39"/>
    <w:rsid w:val="51DF0554"/>
    <w:rsid w:val="51E655A8"/>
    <w:rsid w:val="51E95F2C"/>
    <w:rsid w:val="51F17C20"/>
    <w:rsid w:val="51F21CCC"/>
    <w:rsid w:val="520619D1"/>
    <w:rsid w:val="52067C23"/>
    <w:rsid w:val="5209326F"/>
    <w:rsid w:val="520D7203"/>
    <w:rsid w:val="521265C8"/>
    <w:rsid w:val="5216678E"/>
    <w:rsid w:val="522E404A"/>
    <w:rsid w:val="5231232E"/>
    <w:rsid w:val="5246475C"/>
    <w:rsid w:val="524B6321"/>
    <w:rsid w:val="524E3378"/>
    <w:rsid w:val="526B29C2"/>
    <w:rsid w:val="526C74B2"/>
    <w:rsid w:val="52736BF1"/>
    <w:rsid w:val="527D7BE1"/>
    <w:rsid w:val="52872DAB"/>
    <w:rsid w:val="528D3FB7"/>
    <w:rsid w:val="528F220C"/>
    <w:rsid w:val="52903990"/>
    <w:rsid w:val="52952D55"/>
    <w:rsid w:val="5299183C"/>
    <w:rsid w:val="52A219BA"/>
    <w:rsid w:val="52A91A6C"/>
    <w:rsid w:val="52BB733A"/>
    <w:rsid w:val="52C2390D"/>
    <w:rsid w:val="52D16893"/>
    <w:rsid w:val="52D24131"/>
    <w:rsid w:val="52E2243E"/>
    <w:rsid w:val="52E5041A"/>
    <w:rsid w:val="52EA12F3"/>
    <w:rsid w:val="52ED493F"/>
    <w:rsid w:val="52EF78F3"/>
    <w:rsid w:val="52FC4B82"/>
    <w:rsid w:val="530A54F1"/>
    <w:rsid w:val="53125328"/>
    <w:rsid w:val="532F1AE1"/>
    <w:rsid w:val="53425821"/>
    <w:rsid w:val="534B5BC5"/>
    <w:rsid w:val="53530AB3"/>
    <w:rsid w:val="53552484"/>
    <w:rsid w:val="53591057"/>
    <w:rsid w:val="535A3AA7"/>
    <w:rsid w:val="536C5660"/>
    <w:rsid w:val="537103F9"/>
    <w:rsid w:val="537D2167"/>
    <w:rsid w:val="53813FD8"/>
    <w:rsid w:val="53896BCF"/>
    <w:rsid w:val="53C04FB7"/>
    <w:rsid w:val="53D05E6D"/>
    <w:rsid w:val="53DE6D19"/>
    <w:rsid w:val="53E54C21"/>
    <w:rsid w:val="53E75F09"/>
    <w:rsid w:val="53EC4BF7"/>
    <w:rsid w:val="53F753DD"/>
    <w:rsid w:val="54084A6F"/>
    <w:rsid w:val="54161588"/>
    <w:rsid w:val="54177AB0"/>
    <w:rsid w:val="541949D7"/>
    <w:rsid w:val="542425E2"/>
    <w:rsid w:val="5425049B"/>
    <w:rsid w:val="543116FC"/>
    <w:rsid w:val="544A428C"/>
    <w:rsid w:val="544C4EDC"/>
    <w:rsid w:val="544E1B5A"/>
    <w:rsid w:val="546A3CE7"/>
    <w:rsid w:val="5472334E"/>
    <w:rsid w:val="54786129"/>
    <w:rsid w:val="54790B80"/>
    <w:rsid w:val="549865DE"/>
    <w:rsid w:val="54AC56EA"/>
    <w:rsid w:val="54B10ED1"/>
    <w:rsid w:val="54BC0A6D"/>
    <w:rsid w:val="54C00B7E"/>
    <w:rsid w:val="54CA318A"/>
    <w:rsid w:val="54D13CF2"/>
    <w:rsid w:val="54E44A03"/>
    <w:rsid w:val="54E44A7F"/>
    <w:rsid w:val="54F34D0E"/>
    <w:rsid w:val="55005333"/>
    <w:rsid w:val="55050666"/>
    <w:rsid w:val="550D751A"/>
    <w:rsid w:val="55130BC4"/>
    <w:rsid w:val="55172147"/>
    <w:rsid w:val="551B39E5"/>
    <w:rsid w:val="551C3E67"/>
    <w:rsid w:val="5532626F"/>
    <w:rsid w:val="55350616"/>
    <w:rsid w:val="5537488D"/>
    <w:rsid w:val="553B0454"/>
    <w:rsid w:val="55403F22"/>
    <w:rsid w:val="554058D2"/>
    <w:rsid w:val="55412274"/>
    <w:rsid w:val="55441342"/>
    <w:rsid w:val="55462EE3"/>
    <w:rsid w:val="554A6079"/>
    <w:rsid w:val="554D1070"/>
    <w:rsid w:val="554F60B6"/>
    <w:rsid w:val="55517F94"/>
    <w:rsid w:val="5560230A"/>
    <w:rsid w:val="556620EE"/>
    <w:rsid w:val="55662A9E"/>
    <w:rsid w:val="556C0426"/>
    <w:rsid w:val="559429E1"/>
    <w:rsid w:val="55A63545"/>
    <w:rsid w:val="55B52B33"/>
    <w:rsid w:val="55B765C7"/>
    <w:rsid w:val="55C10894"/>
    <w:rsid w:val="55C90470"/>
    <w:rsid w:val="55CD3EC7"/>
    <w:rsid w:val="55D41DE6"/>
    <w:rsid w:val="55EB15A9"/>
    <w:rsid w:val="55FF50B5"/>
    <w:rsid w:val="56064695"/>
    <w:rsid w:val="560721BC"/>
    <w:rsid w:val="560934D2"/>
    <w:rsid w:val="560D5A05"/>
    <w:rsid w:val="560E1F68"/>
    <w:rsid w:val="56101070"/>
    <w:rsid w:val="5623512F"/>
    <w:rsid w:val="563034C0"/>
    <w:rsid w:val="564156CE"/>
    <w:rsid w:val="5641747C"/>
    <w:rsid w:val="56453552"/>
    <w:rsid w:val="566E22EC"/>
    <w:rsid w:val="567D5FC2"/>
    <w:rsid w:val="568E6C57"/>
    <w:rsid w:val="56926835"/>
    <w:rsid w:val="56AC6220"/>
    <w:rsid w:val="56AD5DB4"/>
    <w:rsid w:val="56AE2637"/>
    <w:rsid w:val="56BD6BE8"/>
    <w:rsid w:val="56C45044"/>
    <w:rsid w:val="56E322E1"/>
    <w:rsid w:val="570B1838"/>
    <w:rsid w:val="570B2A94"/>
    <w:rsid w:val="57120E18"/>
    <w:rsid w:val="5714693E"/>
    <w:rsid w:val="57240597"/>
    <w:rsid w:val="57273216"/>
    <w:rsid w:val="572E2AC0"/>
    <w:rsid w:val="572E3B80"/>
    <w:rsid w:val="57332357"/>
    <w:rsid w:val="57432CFF"/>
    <w:rsid w:val="574C5F46"/>
    <w:rsid w:val="57574A7D"/>
    <w:rsid w:val="57613847"/>
    <w:rsid w:val="576F0D8B"/>
    <w:rsid w:val="578F2469"/>
    <w:rsid w:val="579001D7"/>
    <w:rsid w:val="57983121"/>
    <w:rsid w:val="57AF6948"/>
    <w:rsid w:val="57BB73FE"/>
    <w:rsid w:val="57BD0D84"/>
    <w:rsid w:val="57BE74C0"/>
    <w:rsid w:val="57C11A0E"/>
    <w:rsid w:val="57D16710"/>
    <w:rsid w:val="57FD5FE2"/>
    <w:rsid w:val="58022213"/>
    <w:rsid w:val="58091F79"/>
    <w:rsid w:val="581F1E76"/>
    <w:rsid w:val="583059FA"/>
    <w:rsid w:val="58387355"/>
    <w:rsid w:val="583C439E"/>
    <w:rsid w:val="5840525D"/>
    <w:rsid w:val="58430058"/>
    <w:rsid w:val="58466FCB"/>
    <w:rsid w:val="58586CFE"/>
    <w:rsid w:val="585B234B"/>
    <w:rsid w:val="58A26BBA"/>
    <w:rsid w:val="58AC2BA6"/>
    <w:rsid w:val="58B80512"/>
    <w:rsid w:val="58B82755"/>
    <w:rsid w:val="58C07A18"/>
    <w:rsid w:val="58C55954"/>
    <w:rsid w:val="58F55565"/>
    <w:rsid w:val="58FE1654"/>
    <w:rsid w:val="5901262B"/>
    <w:rsid w:val="59131E85"/>
    <w:rsid w:val="59215310"/>
    <w:rsid w:val="592752A3"/>
    <w:rsid w:val="59335421"/>
    <w:rsid w:val="59575007"/>
    <w:rsid w:val="598124B1"/>
    <w:rsid w:val="5982339B"/>
    <w:rsid w:val="59886B03"/>
    <w:rsid w:val="598B5806"/>
    <w:rsid w:val="598B6E77"/>
    <w:rsid w:val="59925051"/>
    <w:rsid w:val="599B50F5"/>
    <w:rsid w:val="599C7C2F"/>
    <w:rsid w:val="59A450EF"/>
    <w:rsid w:val="59A52E42"/>
    <w:rsid w:val="59AF5D00"/>
    <w:rsid w:val="59B166C6"/>
    <w:rsid w:val="59B61BB7"/>
    <w:rsid w:val="59CD3CAA"/>
    <w:rsid w:val="59D0735E"/>
    <w:rsid w:val="59D12269"/>
    <w:rsid w:val="59D6437F"/>
    <w:rsid w:val="59D64DC3"/>
    <w:rsid w:val="59DA30FF"/>
    <w:rsid w:val="59EA47DF"/>
    <w:rsid w:val="59FC0CF6"/>
    <w:rsid w:val="5A0607FB"/>
    <w:rsid w:val="5A162A9F"/>
    <w:rsid w:val="5A255670"/>
    <w:rsid w:val="5A2F367C"/>
    <w:rsid w:val="5A3F13FB"/>
    <w:rsid w:val="5A40317F"/>
    <w:rsid w:val="5A5905CF"/>
    <w:rsid w:val="5A652806"/>
    <w:rsid w:val="5A765FFB"/>
    <w:rsid w:val="5A961224"/>
    <w:rsid w:val="5A987842"/>
    <w:rsid w:val="5AA004E9"/>
    <w:rsid w:val="5AA036ED"/>
    <w:rsid w:val="5AA933BF"/>
    <w:rsid w:val="5AAB12F4"/>
    <w:rsid w:val="5AAF5D14"/>
    <w:rsid w:val="5AC06047"/>
    <w:rsid w:val="5AD36B10"/>
    <w:rsid w:val="5AE34FA5"/>
    <w:rsid w:val="5AE445AB"/>
    <w:rsid w:val="5B0B44FC"/>
    <w:rsid w:val="5B1038C0"/>
    <w:rsid w:val="5B144406"/>
    <w:rsid w:val="5B1543AF"/>
    <w:rsid w:val="5B281A3E"/>
    <w:rsid w:val="5B2D04C1"/>
    <w:rsid w:val="5B2F0D86"/>
    <w:rsid w:val="5B330C2B"/>
    <w:rsid w:val="5B3D25E5"/>
    <w:rsid w:val="5B471F48"/>
    <w:rsid w:val="5B4D25D3"/>
    <w:rsid w:val="5B5A4385"/>
    <w:rsid w:val="5B7420A1"/>
    <w:rsid w:val="5B841BB9"/>
    <w:rsid w:val="5B885B4D"/>
    <w:rsid w:val="5B8B2F47"/>
    <w:rsid w:val="5BAA7871"/>
    <w:rsid w:val="5BBC75A4"/>
    <w:rsid w:val="5BC3452F"/>
    <w:rsid w:val="5BC6799A"/>
    <w:rsid w:val="5BCB7028"/>
    <w:rsid w:val="5BD52324"/>
    <w:rsid w:val="5BDF6E15"/>
    <w:rsid w:val="5BEA4111"/>
    <w:rsid w:val="5BEB6AF9"/>
    <w:rsid w:val="5C07081F"/>
    <w:rsid w:val="5C0D2E53"/>
    <w:rsid w:val="5C142F3C"/>
    <w:rsid w:val="5C207B33"/>
    <w:rsid w:val="5C2575CF"/>
    <w:rsid w:val="5C2A728E"/>
    <w:rsid w:val="5C361105"/>
    <w:rsid w:val="5C381321"/>
    <w:rsid w:val="5C3C3BB3"/>
    <w:rsid w:val="5C4F0418"/>
    <w:rsid w:val="5C4F271B"/>
    <w:rsid w:val="5C640334"/>
    <w:rsid w:val="5C656D57"/>
    <w:rsid w:val="5C732359"/>
    <w:rsid w:val="5C744009"/>
    <w:rsid w:val="5C7D6D34"/>
    <w:rsid w:val="5C806E88"/>
    <w:rsid w:val="5C9B540C"/>
    <w:rsid w:val="5C9B7CDB"/>
    <w:rsid w:val="5CAC002B"/>
    <w:rsid w:val="5CB00D05"/>
    <w:rsid w:val="5CB36BF9"/>
    <w:rsid w:val="5CBE30B7"/>
    <w:rsid w:val="5CD14736"/>
    <w:rsid w:val="5CD86660"/>
    <w:rsid w:val="5CD94967"/>
    <w:rsid w:val="5CDC313A"/>
    <w:rsid w:val="5CE17A37"/>
    <w:rsid w:val="5CE93E96"/>
    <w:rsid w:val="5CEE29A4"/>
    <w:rsid w:val="5CF42E9A"/>
    <w:rsid w:val="5CF63CDD"/>
    <w:rsid w:val="5CFB5EAA"/>
    <w:rsid w:val="5D0F0EAE"/>
    <w:rsid w:val="5D0F246A"/>
    <w:rsid w:val="5D1460AE"/>
    <w:rsid w:val="5D2D6CA6"/>
    <w:rsid w:val="5D2E4EC7"/>
    <w:rsid w:val="5D310449"/>
    <w:rsid w:val="5D3C0A1B"/>
    <w:rsid w:val="5D524486"/>
    <w:rsid w:val="5D571422"/>
    <w:rsid w:val="5D6B6538"/>
    <w:rsid w:val="5D7F0FB0"/>
    <w:rsid w:val="5D8844B2"/>
    <w:rsid w:val="5D9A56C3"/>
    <w:rsid w:val="5DAB49FC"/>
    <w:rsid w:val="5DC372AA"/>
    <w:rsid w:val="5DC479E9"/>
    <w:rsid w:val="5DD15188"/>
    <w:rsid w:val="5DDF7B22"/>
    <w:rsid w:val="5DEB1673"/>
    <w:rsid w:val="5DF90711"/>
    <w:rsid w:val="5DF9688E"/>
    <w:rsid w:val="5E016E24"/>
    <w:rsid w:val="5E1611EE"/>
    <w:rsid w:val="5E16137A"/>
    <w:rsid w:val="5E262FEA"/>
    <w:rsid w:val="5E3679AA"/>
    <w:rsid w:val="5E4253DA"/>
    <w:rsid w:val="5E4662E1"/>
    <w:rsid w:val="5E536FA0"/>
    <w:rsid w:val="5E5B3B59"/>
    <w:rsid w:val="5E631C3F"/>
    <w:rsid w:val="5E6837F3"/>
    <w:rsid w:val="5E761C8C"/>
    <w:rsid w:val="5E7A06FC"/>
    <w:rsid w:val="5E7F6C87"/>
    <w:rsid w:val="5E9A1D75"/>
    <w:rsid w:val="5EA70098"/>
    <w:rsid w:val="5EB51201"/>
    <w:rsid w:val="5EB80FAA"/>
    <w:rsid w:val="5EB90AAD"/>
    <w:rsid w:val="5EC23124"/>
    <w:rsid w:val="5ED03A93"/>
    <w:rsid w:val="5EE14B6E"/>
    <w:rsid w:val="5EE52114"/>
    <w:rsid w:val="5EFF7ED4"/>
    <w:rsid w:val="5F011E9E"/>
    <w:rsid w:val="5F0D364F"/>
    <w:rsid w:val="5F1D65AC"/>
    <w:rsid w:val="5F1E5059"/>
    <w:rsid w:val="5F3C2D2B"/>
    <w:rsid w:val="5F427DC1"/>
    <w:rsid w:val="5F44738B"/>
    <w:rsid w:val="5F4B136B"/>
    <w:rsid w:val="5F507BE6"/>
    <w:rsid w:val="5F557EE6"/>
    <w:rsid w:val="5F7376D8"/>
    <w:rsid w:val="5F7D7E28"/>
    <w:rsid w:val="5F917744"/>
    <w:rsid w:val="5F9A3EA5"/>
    <w:rsid w:val="5FA17BEC"/>
    <w:rsid w:val="5FD5557F"/>
    <w:rsid w:val="5FF67F2A"/>
    <w:rsid w:val="5FFE1F39"/>
    <w:rsid w:val="600F7937"/>
    <w:rsid w:val="6021393A"/>
    <w:rsid w:val="60294282"/>
    <w:rsid w:val="603B4F3C"/>
    <w:rsid w:val="604C539B"/>
    <w:rsid w:val="604F09E7"/>
    <w:rsid w:val="6062696C"/>
    <w:rsid w:val="607E751E"/>
    <w:rsid w:val="60896866"/>
    <w:rsid w:val="608E178B"/>
    <w:rsid w:val="60CC028A"/>
    <w:rsid w:val="60D07541"/>
    <w:rsid w:val="60D560E7"/>
    <w:rsid w:val="60EA5239"/>
    <w:rsid w:val="60EE6A0D"/>
    <w:rsid w:val="61062BD8"/>
    <w:rsid w:val="611008D8"/>
    <w:rsid w:val="61162D2C"/>
    <w:rsid w:val="611C2181"/>
    <w:rsid w:val="612515C6"/>
    <w:rsid w:val="61395DCD"/>
    <w:rsid w:val="613A1F85"/>
    <w:rsid w:val="613F2C92"/>
    <w:rsid w:val="61412A26"/>
    <w:rsid w:val="61450E2E"/>
    <w:rsid w:val="61460C4F"/>
    <w:rsid w:val="614B38A4"/>
    <w:rsid w:val="61535096"/>
    <w:rsid w:val="61572C72"/>
    <w:rsid w:val="617B27A9"/>
    <w:rsid w:val="61882403"/>
    <w:rsid w:val="61937596"/>
    <w:rsid w:val="619F7667"/>
    <w:rsid w:val="61A3515B"/>
    <w:rsid w:val="61C21F70"/>
    <w:rsid w:val="61CA7231"/>
    <w:rsid w:val="61CE31A0"/>
    <w:rsid w:val="61E078CE"/>
    <w:rsid w:val="61E31D60"/>
    <w:rsid w:val="61E433B1"/>
    <w:rsid w:val="61E954F4"/>
    <w:rsid w:val="61F4179D"/>
    <w:rsid w:val="61FE36BC"/>
    <w:rsid w:val="621A780A"/>
    <w:rsid w:val="621C6E13"/>
    <w:rsid w:val="62481B92"/>
    <w:rsid w:val="62570DCA"/>
    <w:rsid w:val="6263077A"/>
    <w:rsid w:val="6268123D"/>
    <w:rsid w:val="62854B94"/>
    <w:rsid w:val="62921635"/>
    <w:rsid w:val="629B78B7"/>
    <w:rsid w:val="629D50CE"/>
    <w:rsid w:val="62AE235F"/>
    <w:rsid w:val="62BD7466"/>
    <w:rsid w:val="62C236F2"/>
    <w:rsid w:val="62ED7408"/>
    <w:rsid w:val="62F00153"/>
    <w:rsid w:val="62F1516F"/>
    <w:rsid w:val="62F37278"/>
    <w:rsid w:val="62F6258E"/>
    <w:rsid w:val="62FA16F0"/>
    <w:rsid w:val="6305308B"/>
    <w:rsid w:val="631C49B4"/>
    <w:rsid w:val="631F51C0"/>
    <w:rsid w:val="63212B0F"/>
    <w:rsid w:val="63300561"/>
    <w:rsid w:val="63302D52"/>
    <w:rsid w:val="63331212"/>
    <w:rsid w:val="63376333"/>
    <w:rsid w:val="633914DA"/>
    <w:rsid w:val="634265E1"/>
    <w:rsid w:val="63450E2B"/>
    <w:rsid w:val="635B3B50"/>
    <w:rsid w:val="637D59BA"/>
    <w:rsid w:val="63933149"/>
    <w:rsid w:val="63A854A0"/>
    <w:rsid w:val="63B35731"/>
    <w:rsid w:val="63B84AF5"/>
    <w:rsid w:val="63BA6ABF"/>
    <w:rsid w:val="63C35974"/>
    <w:rsid w:val="63C50E4F"/>
    <w:rsid w:val="63CC32BB"/>
    <w:rsid w:val="63D368D7"/>
    <w:rsid w:val="63D7479F"/>
    <w:rsid w:val="63E85374"/>
    <w:rsid w:val="63E952D4"/>
    <w:rsid w:val="63EE0517"/>
    <w:rsid w:val="63F0428F"/>
    <w:rsid w:val="64084086"/>
    <w:rsid w:val="64187070"/>
    <w:rsid w:val="641B4303"/>
    <w:rsid w:val="641F0E7D"/>
    <w:rsid w:val="6428049B"/>
    <w:rsid w:val="643D71EC"/>
    <w:rsid w:val="64406FC4"/>
    <w:rsid w:val="644621C4"/>
    <w:rsid w:val="644B1DDF"/>
    <w:rsid w:val="645A498D"/>
    <w:rsid w:val="6470717E"/>
    <w:rsid w:val="64714514"/>
    <w:rsid w:val="6480480B"/>
    <w:rsid w:val="6488096B"/>
    <w:rsid w:val="648C3D96"/>
    <w:rsid w:val="64A42418"/>
    <w:rsid w:val="64A861A1"/>
    <w:rsid w:val="64C036E1"/>
    <w:rsid w:val="64C13D51"/>
    <w:rsid w:val="64D14795"/>
    <w:rsid w:val="64E20E23"/>
    <w:rsid w:val="64EA33D4"/>
    <w:rsid w:val="64EA4BE1"/>
    <w:rsid w:val="64F90F01"/>
    <w:rsid w:val="64FC0C91"/>
    <w:rsid w:val="64FF0C2E"/>
    <w:rsid w:val="653C62EC"/>
    <w:rsid w:val="653F1505"/>
    <w:rsid w:val="65444892"/>
    <w:rsid w:val="6547267C"/>
    <w:rsid w:val="6554084E"/>
    <w:rsid w:val="6577439A"/>
    <w:rsid w:val="65856C59"/>
    <w:rsid w:val="65961181"/>
    <w:rsid w:val="659677C1"/>
    <w:rsid w:val="65977EFA"/>
    <w:rsid w:val="65994D9E"/>
    <w:rsid w:val="659A0956"/>
    <w:rsid w:val="65AF7404"/>
    <w:rsid w:val="65B512EC"/>
    <w:rsid w:val="65D50624"/>
    <w:rsid w:val="65E924E0"/>
    <w:rsid w:val="65ED39F9"/>
    <w:rsid w:val="65F04A1A"/>
    <w:rsid w:val="66095FCE"/>
    <w:rsid w:val="660A7951"/>
    <w:rsid w:val="660B3602"/>
    <w:rsid w:val="660E59F1"/>
    <w:rsid w:val="66140709"/>
    <w:rsid w:val="661E0E0B"/>
    <w:rsid w:val="66206222"/>
    <w:rsid w:val="662144F3"/>
    <w:rsid w:val="662463E4"/>
    <w:rsid w:val="662E6458"/>
    <w:rsid w:val="66357921"/>
    <w:rsid w:val="663F2278"/>
    <w:rsid w:val="663F7958"/>
    <w:rsid w:val="664408C2"/>
    <w:rsid w:val="66456379"/>
    <w:rsid w:val="664D7777"/>
    <w:rsid w:val="66522FDF"/>
    <w:rsid w:val="66602CF2"/>
    <w:rsid w:val="66636F9A"/>
    <w:rsid w:val="666D0B8B"/>
    <w:rsid w:val="669435F8"/>
    <w:rsid w:val="669C4780"/>
    <w:rsid w:val="66B26D35"/>
    <w:rsid w:val="66B47C99"/>
    <w:rsid w:val="66C719A1"/>
    <w:rsid w:val="66E853B4"/>
    <w:rsid w:val="66F733C6"/>
    <w:rsid w:val="671156B7"/>
    <w:rsid w:val="672E1BB9"/>
    <w:rsid w:val="672F1572"/>
    <w:rsid w:val="67307B04"/>
    <w:rsid w:val="67363412"/>
    <w:rsid w:val="6752239C"/>
    <w:rsid w:val="675F64F9"/>
    <w:rsid w:val="676433FF"/>
    <w:rsid w:val="67670D0C"/>
    <w:rsid w:val="677501F3"/>
    <w:rsid w:val="67916664"/>
    <w:rsid w:val="67A7735B"/>
    <w:rsid w:val="67B4731E"/>
    <w:rsid w:val="67BE247C"/>
    <w:rsid w:val="67BE4C19"/>
    <w:rsid w:val="67C73A32"/>
    <w:rsid w:val="67D55C76"/>
    <w:rsid w:val="67D839B8"/>
    <w:rsid w:val="67E76964"/>
    <w:rsid w:val="67F02AB0"/>
    <w:rsid w:val="67F3434E"/>
    <w:rsid w:val="68162783"/>
    <w:rsid w:val="68316CA9"/>
    <w:rsid w:val="68354966"/>
    <w:rsid w:val="68446481"/>
    <w:rsid w:val="68467214"/>
    <w:rsid w:val="68501306"/>
    <w:rsid w:val="685614C3"/>
    <w:rsid w:val="68660FC4"/>
    <w:rsid w:val="68793460"/>
    <w:rsid w:val="688156C0"/>
    <w:rsid w:val="688520D4"/>
    <w:rsid w:val="68885B9E"/>
    <w:rsid w:val="688B0A2A"/>
    <w:rsid w:val="689354FE"/>
    <w:rsid w:val="6897117D"/>
    <w:rsid w:val="689B5F36"/>
    <w:rsid w:val="68AA7E13"/>
    <w:rsid w:val="68BA0F0D"/>
    <w:rsid w:val="68C21D29"/>
    <w:rsid w:val="68CB7087"/>
    <w:rsid w:val="68F10F8F"/>
    <w:rsid w:val="68FA69A1"/>
    <w:rsid w:val="690507DD"/>
    <w:rsid w:val="691170AE"/>
    <w:rsid w:val="691C49C1"/>
    <w:rsid w:val="693B7E4B"/>
    <w:rsid w:val="694E2184"/>
    <w:rsid w:val="6951461B"/>
    <w:rsid w:val="69663946"/>
    <w:rsid w:val="696A6892"/>
    <w:rsid w:val="697414BE"/>
    <w:rsid w:val="697670FA"/>
    <w:rsid w:val="698B00E1"/>
    <w:rsid w:val="698C3AE8"/>
    <w:rsid w:val="698E2580"/>
    <w:rsid w:val="699441C6"/>
    <w:rsid w:val="699944D1"/>
    <w:rsid w:val="699D27C3"/>
    <w:rsid w:val="69A00191"/>
    <w:rsid w:val="69A91168"/>
    <w:rsid w:val="69AA17CA"/>
    <w:rsid w:val="69AE2C22"/>
    <w:rsid w:val="69C03787"/>
    <w:rsid w:val="69D00120"/>
    <w:rsid w:val="69D17C0C"/>
    <w:rsid w:val="69D837FB"/>
    <w:rsid w:val="69E11ACC"/>
    <w:rsid w:val="69E60EE0"/>
    <w:rsid w:val="69E72135"/>
    <w:rsid w:val="69FD3CC4"/>
    <w:rsid w:val="6A103C4F"/>
    <w:rsid w:val="6A150816"/>
    <w:rsid w:val="6A1F767C"/>
    <w:rsid w:val="6A2D3935"/>
    <w:rsid w:val="6A2E6204"/>
    <w:rsid w:val="6A372C18"/>
    <w:rsid w:val="6A4D243B"/>
    <w:rsid w:val="6A4E3ABD"/>
    <w:rsid w:val="6A4E6DFB"/>
    <w:rsid w:val="6A6D7740"/>
    <w:rsid w:val="6A705A35"/>
    <w:rsid w:val="6A745A1A"/>
    <w:rsid w:val="6A7A2B04"/>
    <w:rsid w:val="6A7A48B2"/>
    <w:rsid w:val="6A7D2D96"/>
    <w:rsid w:val="6A833AE5"/>
    <w:rsid w:val="6A950B6E"/>
    <w:rsid w:val="6A95501C"/>
    <w:rsid w:val="6AA67245"/>
    <w:rsid w:val="6AA977E4"/>
    <w:rsid w:val="6AAB0C9C"/>
    <w:rsid w:val="6ABA2C45"/>
    <w:rsid w:val="6AC62019"/>
    <w:rsid w:val="6AC910AB"/>
    <w:rsid w:val="6AD27B99"/>
    <w:rsid w:val="6AD30D4A"/>
    <w:rsid w:val="6AE34B4E"/>
    <w:rsid w:val="6B0F26FB"/>
    <w:rsid w:val="6B203CBF"/>
    <w:rsid w:val="6B3357C8"/>
    <w:rsid w:val="6B39476E"/>
    <w:rsid w:val="6B6A0DCB"/>
    <w:rsid w:val="6B6A2B79"/>
    <w:rsid w:val="6B6B7B76"/>
    <w:rsid w:val="6B7177CE"/>
    <w:rsid w:val="6B7B2092"/>
    <w:rsid w:val="6B826AB3"/>
    <w:rsid w:val="6B847093"/>
    <w:rsid w:val="6B8B6A70"/>
    <w:rsid w:val="6B92376E"/>
    <w:rsid w:val="6B981494"/>
    <w:rsid w:val="6BA86DB0"/>
    <w:rsid w:val="6BB43DF4"/>
    <w:rsid w:val="6BE638A3"/>
    <w:rsid w:val="6BEA23BA"/>
    <w:rsid w:val="6BEC17E0"/>
    <w:rsid w:val="6BF30FC4"/>
    <w:rsid w:val="6BFA09C1"/>
    <w:rsid w:val="6BFF7F33"/>
    <w:rsid w:val="6C33536A"/>
    <w:rsid w:val="6C3604E3"/>
    <w:rsid w:val="6C423AF6"/>
    <w:rsid w:val="6C4916E2"/>
    <w:rsid w:val="6C523D39"/>
    <w:rsid w:val="6C6A462D"/>
    <w:rsid w:val="6C7E2682"/>
    <w:rsid w:val="6CAB14ED"/>
    <w:rsid w:val="6CB310FC"/>
    <w:rsid w:val="6CC10EBE"/>
    <w:rsid w:val="6CC42C02"/>
    <w:rsid w:val="6CCB3AEB"/>
    <w:rsid w:val="6CD72490"/>
    <w:rsid w:val="6CDB1A5C"/>
    <w:rsid w:val="6CDE737B"/>
    <w:rsid w:val="6CE37A68"/>
    <w:rsid w:val="6CEB1A97"/>
    <w:rsid w:val="6CEC3562"/>
    <w:rsid w:val="6D06067F"/>
    <w:rsid w:val="6D0A3398"/>
    <w:rsid w:val="6D0E5786"/>
    <w:rsid w:val="6D225A94"/>
    <w:rsid w:val="6D300D11"/>
    <w:rsid w:val="6D350F65"/>
    <w:rsid w:val="6D37122F"/>
    <w:rsid w:val="6D394E90"/>
    <w:rsid w:val="6D3B5B01"/>
    <w:rsid w:val="6D3C22F3"/>
    <w:rsid w:val="6D446F34"/>
    <w:rsid w:val="6D4667F7"/>
    <w:rsid w:val="6D4713C4"/>
    <w:rsid w:val="6D61130D"/>
    <w:rsid w:val="6D642FBE"/>
    <w:rsid w:val="6D760E66"/>
    <w:rsid w:val="6D7F31FC"/>
    <w:rsid w:val="6D8048D6"/>
    <w:rsid w:val="6D8A5905"/>
    <w:rsid w:val="6D9A15C3"/>
    <w:rsid w:val="6D9A2F35"/>
    <w:rsid w:val="6DA11DEE"/>
    <w:rsid w:val="6DAA1953"/>
    <w:rsid w:val="6DD20891"/>
    <w:rsid w:val="6DE410F0"/>
    <w:rsid w:val="6DE56E0B"/>
    <w:rsid w:val="6DE95BA9"/>
    <w:rsid w:val="6DF65CF4"/>
    <w:rsid w:val="6E001573"/>
    <w:rsid w:val="6E017EBF"/>
    <w:rsid w:val="6E032A4A"/>
    <w:rsid w:val="6E0513C7"/>
    <w:rsid w:val="6E16053E"/>
    <w:rsid w:val="6E2E7E8E"/>
    <w:rsid w:val="6E573888"/>
    <w:rsid w:val="6E5E5261"/>
    <w:rsid w:val="6E6E472E"/>
    <w:rsid w:val="6E702D0B"/>
    <w:rsid w:val="6E8602D6"/>
    <w:rsid w:val="6E8A2F09"/>
    <w:rsid w:val="6E8C17AA"/>
    <w:rsid w:val="6E9543B1"/>
    <w:rsid w:val="6EA9660D"/>
    <w:rsid w:val="6EB011EB"/>
    <w:rsid w:val="6EC8262F"/>
    <w:rsid w:val="6ED749C9"/>
    <w:rsid w:val="6EE82732"/>
    <w:rsid w:val="6EF34C6F"/>
    <w:rsid w:val="6EFE3D04"/>
    <w:rsid w:val="6F0532E4"/>
    <w:rsid w:val="6F08033E"/>
    <w:rsid w:val="6F0F4F16"/>
    <w:rsid w:val="6F152DFC"/>
    <w:rsid w:val="6F347726"/>
    <w:rsid w:val="6F544BDE"/>
    <w:rsid w:val="6F5E0C47"/>
    <w:rsid w:val="6F5F10A7"/>
    <w:rsid w:val="6F6C40D6"/>
    <w:rsid w:val="6F751C27"/>
    <w:rsid w:val="6F794217"/>
    <w:rsid w:val="6F903151"/>
    <w:rsid w:val="6F917306"/>
    <w:rsid w:val="6F924F2C"/>
    <w:rsid w:val="6FA647DB"/>
    <w:rsid w:val="6FB73F94"/>
    <w:rsid w:val="6FC0617F"/>
    <w:rsid w:val="6FC30AAA"/>
    <w:rsid w:val="6FC57846"/>
    <w:rsid w:val="6FD627E2"/>
    <w:rsid w:val="6FD9207B"/>
    <w:rsid w:val="6FEA4288"/>
    <w:rsid w:val="6FF2313D"/>
    <w:rsid w:val="7019691C"/>
    <w:rsid w:val="70270C16"/>
    <w:rsid w:val="7027728A"/>
    <w:rsid w:val="702A3C2B"/>
    <w:rsid w:val="702A6D7B"/>
    <w:rsid w:val="7031412D"/>
    <w:rsid w:val="70384FF4"/>
    <w:rsid w:val="703C2DB9"/>
    <w:rsid w:val="70430962"/>
    <w:rsid w:val="704C12EF"/>
    <w:rsid w:val="70514307"/>
    <w:rsid w:val="705679F4"/>
    <w:rsid w:val="70587444"/>
    <w:rsid w:val="705D69F4"/>
    <w:rsid w:val="706F4481"/>
    <w:rsid w:val="7082076D"/>
    <w:rsid w:val="708F3705"/>
    <w:rsid w:val="7099294B"/>
    <w:rsid w:val="709A746C"/>
    <w:rsid w:val="709B0404"/>
    <w:rsid w:val="70A1528F"/>
    <w:rsid w:val="70A74161"/>
    <w:rsid w:val="70C10CEB"/>
    <w:rsid w:val="70C15A45"/>
    <w:rsid w:val="70E62CA2"/>
    <w:rsid w:val="70F21646"/>
    <w:rsid w:val="70F37776"/>
    <w:rsid w:val="71325EE7"/>
    <w:rsid w:val="713A2FED"/>
    <w:rsid w:val="714678F4"/>
    <w:rsid w:val="715130DF"/>
    <w:rsid w:val="71573B9F"/>
    <w:rsid w:val="715C705F"/>
    <w:rsid w:val="71601C1E"/>
    <w:rsid w:val="71610ABB"/>
    <w:rsid w:val="716B2939"/>
    <w:rsid w:val="716B452F"/>
    <w:rsid w:val="717714B7"/>
    <w:rsid w:val="717A4273"/>
    <w:rsid w:val="717E5EB6"/>
    <w:rsid w:val="71874638"/>
    <w:rsid w:val="71970440"/>
    <w:rsid w:val="71AD3E2F"/>
    <w:rsid w:val="71C13613"/>
    <w:rsid w:val="71C4088F"/>
    <w:rsid w:val="71CC326F"/>
    <w:rsid w:val="71E60A7F"/>
    <w:rsid w:val="72020A1B"/>
    <w:rsid w:val="720611F5"/>
    <w:rsid w:val="72087A96"/>
    <w:rsid w:val="720D24FF"/>
    <w:rsid w:val="723D4EC0"/>
    <w:rsid w:val="723E5DB4"/>
    <w:rsid w:val="72402885"/>
    <w:rsid w:val="72457067"/>
    <w:rsid w:val="7246196F"/>
    <w:rsid w:val="72514A93"/>
    <w:rsid w:val="72673D06"/>
    <w:rsid w:val="726A186A"/>
    <w:rsid w:val="726C5429"/>
    <w:rsid w:val="72777963"/>
    <w:rsid w:val="728B49B4"/>
    <w:rsid w:val="728F5D32"/>
    <w:rsid w:val="729606F7"/>
    <w:rsid w:val="729D4F70"/>
    <w:rsid w:val="72AC1CC9"/>
    <w:rsid w:val="72B34ED2"/>
    <w:rsid w:val="72B700B6"/>
    <w:rsid w:val="72CE1FE2"/>
    <w:rsid w:val="72F9189F"/>
    <w:rsid w:val="731A1328"/>
    <w:rsid w:val="731F1695"/>
    <w:rsid w:val="73371C29"/>
    <w:rsid w:val="73375A36"/>
    <w:rsid w:val="734A6FCB"/>
    <w:rsid w:val="734C5D2F"/>
    <w:rsid w:val="73695125"/>
    <w:rsid w:val="736B1B84"/>
    <w:rsid w:val="736D1458"/>
    <w:rsid w:val="738F61DB"/>
    <w:rsid w:val="73905DAB"/>
    <w:rsid w:val="7395379A"/>
    <w:rsid w:val="73A14F7E"/>
    <w:rsid w:val="73B60D17"/>
    <w:rsid w:val="73C977ED"/>
    <w:rsid w:val="73DB035D"/>
    <w:rsid w:val="73DB55DA"/>
    <w:rsid w:val="73E16EE5"/>
    <w:rsid w:val="73E3105B"/>
    <w:rsid w:val="73EB111C"/>
    <w:rsid w:val="73FF709F"/>
    <w:rsid w:val="740C167A"/>
    <w:rsid w:val="740C16A3"/>
    <w:rsid w:val="741A05E8"/>
    <w:rsid w:val="741B2C62"/>
    <w:rsid w:val="74276EA8"/>
    <w:rsid w:val="742A1F47"/>
    <w:rsid w:val="744A0943"/>
    <w:rsid w:val="745A5E80"/>
    <w:rsid w:val="74684F3B"/>
    <w:rsid w:val="746A1E3C"/>
    <w:rsid w:val="746D6164"/>
    <w:rsid w:val="74703282"/>
    <w:rsid w:val="74750D7C"/>
    <w:rsid w:val="74977B7C"/>
    <w:rsid w:val="74994510"/>
    <w:rsid w:val="74A40EAA"/>
    <w:rsid w:val="74B939FB"/>
    <w:rsid w:val="74BF2E77"/>
    <w:rsid w:val="74D3353D"/>
    <w:rsid w:val="74E6183A"/>
    <w:rsid w:val="74E65115"/>
    <w:rsid w:val="74F65788"/>
    <w:rsid w:val="75120509"/>
    <w:rsid w:val="752D5343"/>
    <w:rsid w:val="752E4C17"/>
    <w:rsid w:val="75343457"/>
    <w:rsid w:val="756B19C7"/>
    <w:rsid w:val="75811530"/>
    <w:rsid w:val="758B0767"/>
    <w:rsid w:val="75911E94"/>
    <w:rsid w:val="75BA734C"/>
    <w:rsid w:val="75BC7458"/>
    <w:rsid w:val="75E023B5"/>
    <w:rsid w:val="75E07E25"/>
    <w:rsid w:val="75E654F2"/>
    <w:rsid w:val="75EF2004"/>
    <w:rsid w:val="75FB639B"/>
    <w:rsid w:val="75FC62E3"/>
    <w:rsid w:val="762C55FB"/>
    <w:rsid w:val="763224E5"/>
    <w:rsid w:val="76426A73"/>
    <w:rsid w:val="765861C0"/>
    <w:rsid w:val="76607052"/>
    <w:rsid w:val="766A12EE"/>
    <w:rsid w:val="766F2E15"/>
    <w:rsid w:val="767073EA"/>
    <w:rsid w:val="767452F2"/>
    <w:rsid w:val="767801CB"/>
    <w:rsid w:val="76800DB2"/>
    <w:rsid w:val="768052EC"/>
    <w:rsid w:val="76866FD1"/>
    <w:rsid w:val="76A30E30"/>
    <w:rsid w:val="76BD7852"/>
    <w:rsid w:val="76BE0A35"/>
    <w:rsid w:val="76BE0D28"/>
    <w:rsid w:val="76BF476C"/>
    <w:rsid w:val="76C06B0A"/>
    <w:rsid w:val="76C633D8"/>
    <w:rsid w:val="76D807F3"/>
    <w:rsid w:val="76FA2174"/>
    <w:rsid w:val="77386A82"/>
    <w:rsid w:val="774F7BA9"/>
    <w:rsid w:val="775B1A14"/>
    <w:rsid w:val="7774220A"/>
    <w:rsid w:val="77753637"/>
    <w:rsid w:val="77790338"/>
    <w:rsid w:val="777C0FE5"/>
    <w:rsid w:val="777D20D6"/>
    <w:rsid w:val="778637D8"/>
    <w:rsid w:val="778975F8"/>
    <w:rsid w:val="778A2548"/>
    <w:rsid w:val="778B2F62"/>
    <w:rsid w:val="77955421"/>
    <w:rsid w:val="77980CB4"/>
    <w:rsid w:val="77997050"/>
    <w:rsid w:val="77AA164B"/>
    <w:rsid w:val="77AF37B4"/>
    <w:rsid w:val="77C32BA6"/>
    <w:rsid w:val="77CD0717"/>
    <w:rsid w:val="77CF596F"/>
    <w:rsid w:val="77E17F1A"/>
    <w:rsid w:val="77ED31C4"/>
    <w:rsid w:val="77EF2CF4"/>
    <w:rsid w:val="77F60E43"/>
    <w:rsid w:val="780600CD"/>
    <w:rsid w:val="78160310"/>
    <w:rsid w:val="781A214F"/>
    <w:rsid w:val="78260025"/>
    <w:rsid w:val="78303FE8"/>
    <w:rsid w:val="783C3374"/>
    <w:rsid w:val="78571967"/>
    <w:rsid w:val="78572DD4"/>
    <w:rsid w:val="78632AB8"/>
    <w:rsid w:val="78733E84"/>
    <w:rsid w:val="78817C18"/>
    <w:rsid w:val="7883171E"/>
    <w:rsid w:val="78943F6D"/>
    <w:rsid w:val="78A53442"/>
    <w:rsid w:val="78A6293F"/>
    <w:rsid w:val="78A84CE1"/>
    <w:rsid w:val="78AF606F"/>
    <w:rsid w:val="78B32452"/>
    <w:rsid w:val="78B712A4"/>
    <w:rsid w:val="78B77C5B"/>
    <w:rsid w:val="78C71A69"/>
    <w:rsid w:val="78E0447A"/>
    <w:rsid w:val="78E23075"/>
    <w:rsid w:val="79035A3D"/>
    <w:rsid w:val="790A6B0C"/>
    <w:rsid w:val="790B6E20"/>
    <w:rsid w:val="790C34C1"/>
    <w:rsid w:val="79112C41"/>
    <w:rsid w:val="792F0F5E"/>
    <w:rsid w:val="79320EDC"/>
    <w:rsid w:val="79491C79"/>
    <w:rsid w:val="794B6EAC"/>
    <w:rsid w:val="794C4E1B"/>
    <w:rsid w:val="795968CD"/>
    <w:rsid w:val="796D3B2F"/>
    <w:rsid w:val="797A15A0"/>
    <w:rsid w:val="798B1D46"/>
    <w:rsid w:val="79927E6B"/>
    <w:rsid w:val="79934B9E"/>
    <w:rsid w:val="7995496E"/>
    <w:rsid w:val="79A57843"/>
    <w:rsid w:val="79B80F53"/>
    <w:rsid w:val="79D73ACF"/>
    <w:rsid w:val="79DB69E4"/>
    <w:rsid w:val="79DD1B5C"/>
    <w:rsid w:val="79E306C6"/>
    <w:rsid w:val="79E93803"/>
    <w:rsid w:val="79EC3040"/>
    <w:rsid w:val="79EF0F1A"/>
    <w:rsid w:val="79FA156C"/>
    <w:rsid w:val="7A0A5C53"/>
    <w:rsid w:val="7A1868A3"/>
    <w:rsid w:val="7A264E40"/>
    <w:rsid w:val="7A44313E"/>
    <w:rsid w:val="7A5F7F43"/>
    <w:rsid w:val="7A616365"/>
    <w:rsid w:val="7A6A4509"/>
    <w:rsid w:val="7A795A0F"/>
    <w:rsid w:val="7A802114"/>
    <w:rsid w:val="7A845880"/>
    <w:rsid w:val="7A8871E4"/>
    <w:rsid w:val="7A8D23E0"/>
    <w:rsid w:val="7A936EE8"/>
    <w:rsid w:val="7AB834A0"/>
    <w:rsid w:val="7AB90E79"/>
    <w:rsid w:val="7ABA7E0B"/>
    <w:rsid w:val="7ADA2F47"/>
    <w:rsid w:val="7ADF4BE2"/>
    <w:rsid w:val="7AE24CA6"/>
    <w:rsid w:val="7AE77311"/>
    <w:rsid w:val="7AF56038"/>
    <w:rsid w:val="7B0D0E08"/>
    <w:rsid w:val="7B1064C6"/>
    <w:rsid w:val="7B214ED6"/>
    <w:rsid w:val="7B221CC0"/>
    <w:rsid w:val="7B2335C6"/>
    <w:rsid w:val="7B2E5971"/>
    <w:rsid w:val="7B3863DC"/>
    <w:rsid w:val="7B3F2B3E"/>
    <w:rsid w:val="7B485F73"/>
    <w:rsid w:val="7B485F9F"/>
    <w:rsid w:val="7B49058F"/>
    <w:rsid w:val="7B5E4865"/>
    <w:rsid w:val="7B7517F2"/>
    <w:rsid w:val="7B7535A0"/>
    <w:rsid w:val="7B7E32AF"/>
    <w:rsid w:val="7B864A78"/>
    <w:rsid w:val="7B8870F0"/>
    <w:rsid w:val="7B9A3006"/>
    <w:rsid w:val="7BBC7E71"/>
    <w:rsid w:val="7BBF3F84"/>
    <w:rsid w:val="7BC65CA5"/>
    <w:rsid w:val="7BD06A28"/>
    <w:rsid w:val="7BDA78A7"/>
    <w:rsid w:val="7BDD3197"/>
    <w:rsid w:val="7BDF310F"/>
    <w:rsid w:val="7BE22E3B"/>
    <w:rsid w:val="7BE349AD"/>
    <w:rsid w:val="7BEA5FD0"/>
    <w:rsid w:val="7BF14BE6"/>
    <w:rsid w:val="7BF217AA"/>
    <w:rsid w:val="7C03289D"/>
    <w:rsid w:val="7C077F70"/>
    <w:rsid w:val="7C2C2F47"/>
    <w:rsid w:val="7C4D62CB"/>
    <w:rsid w:val="7C544280"/>
    <w:rsid w:val="7C5C6C38"/>
    <w:rsid w:val="7C7935C3"/>
    <w:rsid w:val="7C833A9B"/>
    <w:rsid w:val="7C8C10C7"/>
    <w:rsid w:val="7C911A72"/>
    <w:rsid w:val="7CBC2048"/>
    <w:rsid w:val="7CCA16C9"/>
    <w:rsid w:val="7CE3538B"/>
    <w:rsid w:val="7CEE3B4F"/>
    <w:rsid w:val="7CFA4FEC"/>
    <w:rsid w:val="7D037A4E"/>
    <w:rsid w:val="7D044000"/>
    <w:rsid w:val="7D090B0E"/>
    <w:rsid w:val="7D0D6835"/>
    <w:rsid w:val="7D0E3939"/>
    <w:rsid w:val="7D180687"/>
    <w:rsid w:val="7D1B3B82"/>
    <w:rsid w:val="7D2475B4"/>
    <w:rsid w:val="7D2B25E0"/>
    <w:rsid w:val="7D2C6961"/>
    <w:rsid w:val="7D3C1A3B"/>
    <w:rsid w:val="7D447A06"/>
    <w:rsid w:val="7D496A92"/>
    <w:rsid w:val="7D4F1BCF"/>
    <w:rsid w:val="7D6C22B7"/>
    <w:rsid w:val="7D6F683B"/>
    <w:rsid w:val="7D80622C"/>
    <w:rsid w:val="7D9119B2"/>
    <w:rsid w:val="7D9D103C"/>
    <w:rsid w:val="7D9F66B2"/>
    <w:rsid w:val="7DA02C0F"/>
    <w:rsid w:val="7DA210F8"/>
    <w:rsid w:val="7DA6644E"/>
    <w:rsid w:val="7DA95783"/>
    <w:rsid w:val="7DAA32A9"/>
    <w:rsid w:val="7DBF6967"/>
    <w:rsid w:val="7DC9372F"/>
    <w:rsid w:val="7DCC7C86"/>
    <w:rsid w:val="7DCF179A"/>
    <w:rsid w:val="7DEA43A0"/>
    <w:rsid w:val="7DED3CF7"/>
    <w:rsid w:val="7E0B15FE"/>
    <w:rsid w:val="7E17093E"/>
    <w:rsid w:val="7E3123F3"/>
    <w:rsid w:val="7E327526"/>
    <w:rsid w:val="7E350DC4"/>
    <w:rsid w:val="7E3B7BB6"/>
    <w:rsid w:val="7E427E5E"/>
    <w:rsid w:val="7E4F158B"/>
    <w:rsid w:val="7E6D19FE"/>
    <w:rsid w:val="7E6D4A02"/>
    <w:rsid w:val="7E770B68"/>
    <w:rsid w:val="7E7F1281"/>
    <w:rsid w:val="7E801BFB"/>
    <w:rsid w:val="7E804C1F"/>
    <w:rsid w:val="7E825B40"/>
    <w:rsid w:val="7E841895"/>
    <w:rsid w:val="7E8D6E52"/>
    <w:rsid w:val="7E9271C8"/>
    <w:rsid w:val="7E991353"/>
    <w:rsid w:val="7EAB552B"/>
    <w:rsid w:val="7EB64B61"/>
    <w:rsid w:val="7EB93214"/>
    <w:rsid w:val="7EC369B6"/>
    <w:rsid w:val="7EC5039A"/>
    <w:rsid w:val="7EC87E8B"/>
    <w:rsid w:val="7EDC774A"/>
    <w:rsid w:val="7EDE038C"/>
    <w:rsid w:val="7EED2772"/>
    <w:rsid w:val="7EFC5D86"/>
    <w:rsid w:val="7F0D07AB"/>
    <w:rsid w:val="7F12008C"/>
    <w:rsid w:val="7F166E48"/>
    <w:rsid w:val="7F1D38D0"/>
    <w:rsid w:val="7F21759B"/>
    <w:rsid w:val="7F271B60"/>
    <w:rsid w:val="7F34362F"/>
    <w:rsid w:val="7F437511"/>
    <w:rsid w:val="7F547970"/>
    <w:rsid w:val="7F5E7397"/>
    <w:rsid w:val="7F606315"/>
    <w:rsid w:val="7F6162B0"/>
    <w:rsid w:val="7F7E2CE7"/>
    <w:rsid w:val="7F961179"/>
    <w:rsid w:val="7F96404D"/>
    <w:rsid w:val="7F9B559F"/>
    <w:rsid w:val="7FA10933"/>
    <w:rsid w:val="7FA33380"/>
    <w:rsid w:val="7FA34F2A"/>
    <w:rsid w:val="7FB37F2D"/>
    <w:rsid w:val="7FCA0C9B"/>
    <w:rsid w:val="7FDC6DE5"/>
    <w:rsid w:val="7FE20B82"/>
    <w:rsid w:val="7FF8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31"/>
    <w:qFormat/>
    <w:uiPriority w:val="9"/>
    <w:pPr>
      <w:keepNext/>
      <w:keepLines/>
      <w:outlineLvl w:val="0"/>
    </w:pPr>
    <w:rPr>
      <w:rFonts w:eastAsia="黑体"/>
      <w:bCs/>
      <w:kern w:val="44"/>
      <w:sz w:val="32"/>
      <w:szCs w:val="44"/>
    </w:rPr>
  </w:style>
  <w:style w:type="paragraph" w:styleId="3">
    <w:name w:val="heading 2"/>
    <w:basedOn w:val="1"/>
    <w:next w:val="4"/>
    <w:link w:val="28"/>
    <w:unhideWhenUsed/>
    <w:qFormat/>
    <w:uiPriority w:val="9"/>
    <w:pPr>
      <w:keepNext/>
      <w:keepLines/>
      <w:outlineLvl w:val="1"/>
    </w:pPr>
    <w:rPr>
      <w:rFonts w:eastAsia="楷体" w:asciiTheme="majorHAnsi" w:hAnsiTheme="majorHAnsi" w:cstheme="majorBidi"/>
      <w:b/>
      <w:bCs/>
      <w:sz w:val="32"/>
      <w:szCs w:val="32"/>
    </w:rPr>
  </w:style>
  <w:style w:type="paragraph" w:styleId="5">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5"/>
    <w:qFormat/>
    <w:uiPriority w:val="9"/>
    <w:pPr>
      <w:keepNext/>
      <w:keepLines/>
      <w:outlineLvl w:val="3"/>
    </w:pPr>
    <w:rPr>
      <w:rFonts w:ascii="Calibri Light" w:hAnsi="Calibri Light"/>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style>
  <w:style w:type="paragraph" w:styleId="7">
    <w:name w:val="caption"/>
    <w:basedOn w:val="1"/>
    <w:next w:val="1"/>
    <w:qFormat/>
    <w:uiPriority w:val="35"/>
    <w:pPr>
      <w:ind w:firstLine="0" w:firstLineChars="0"/>
      <w:jc w:val="center"/>
      <w:outlineLvl w:val="3"/>
    </w:pPr>
    <w:rPr>
      <w:rFonts w:ascii="Arial" w:hAnsi="Arial" w:eastAsia="黑体"/>
      <w:sz w:val="24"/>
      <w:szCs w:val="22"/>
    </w:rPr>
  </w:style>
  <w:style w:type="paragraph" w:styleId="8">
    <w:name w:val="annotation text"/>
    <w:basedOn w:val="1"/>
    <w:link w:val="48"/>
    <w:unhideWhenUsed/>
    <w:qFormat/>
    <w:uiPriority w:val="99"/>
    <w:pPr>
      <w:jc w:val="left"/>
    </w:pPr>
  </w:style>
  <w:style w:type="paragraph" w:styleId="9">
    <w:name w:val="Body Text"/>
    <w:basedOn w:val="1"/>
    <w:link w:val="51"/>
    <w:qFormat/>
    <w:uiPriority w:val="99"/>
    <w:pPr>
      <w:spacing w:after="120"/>
    </w:pPr>
  </w:style>
  <w:style w:type="paragraph" w:styleId="10">
    <w:name w:val="Body Text Indent"/>
    <w:basedOn w:val="1"/>
    <w:link w:val="43"/>
    <w:semiHidden/>
    <w:unhideWhenUsed/>
    <w:qFormat/>
    <w:uiPriority w:val="99"/>
    <w:pPr>
      <w:spacing w:after="120"/>
      <w:ind w:left="420" w:leftChars="200"/>
    </w:pPr>
  </w:style>
  <w:style w:type="paragraph" w:styleId="11">
    <w:name w:val="toc 5"/>
    <w:next w:val="1"/>
    <w:qFormat/>
    <w:uiPriority w:val="0"/>
    <w:pPr>
      <w:ind w:left="630"/>
      <w:jc w:val="left"/>
    </w:pPr>
    <w:rPr>
      <w:rFonts w:ascii="Times New Roman" w:hAnsi="Times New Roman" w:eastAsia="宋体" w:cs="Times New Roman"/>
      <w:sz w:val="20"/>
      <w:szCs w:val="20"/>
      <w:lang w:val="en-US" w:eastAsia="zh-CN" w:bidi="ar-SA"/>
    </w:rPr>
  </w:style>
  <w:style w:type="paragraph" w:styleId="12">
    <w:name w:val="toc 3"/>
    <w:basedOn w:val="1"/>
    <w:next w:val="1"/>
    <w:unhideWhenUsed/>
    <w:qFormat/>
    <w:uiPriority w:val="39"/>
    <w:pPr>
      <w:widowControl/>
      <w:adjustRightInd/>
      <w:snapToGrid/>
      <w:spacing w:after="100" w:line="276" w:lineRule="auto"/>
      <w:ind w:left="440" w:firstLine="0" w:firstLineChars="0"/>
      <w:jc w:val="left"/>
    </w:pPr>
    <w:rPr>
      <w:rFonts w:asciiTheme="minorHAnsi" w:hAnsiTheme="minorHAnsi" w:eastAsiaTheme="minorEastAsia" w:cstheme="minorBidi"/>
      <w:kern w:val="0"/>
      <w:sz w:val="22"/>
      <w:szCs w:val="22"/>
    </w:rPr>
  </w:style>
  <w:style w:type="paragraph" w:styleId="13">
    <w:name w:val="Date"/>
    <w:basedOn w:val="1"/>
    <w:next w:val="1"/>
    <w:unhideWhenUsed/>
    <w:qFormat/>
    <w:uiPriority w:val="99"/>
    <w:pPr>
      <w:ind w:left="100" w:leftChars="2500"/>
    </w:pPr>
  </w:style>
  <w:style w:type="paragraph" w:styleId="14">
    <w:name w:val="Balloon Text"/>
    <w:basedOn w:val="1"/>
    <w:link w:val="33"/>
    <w:semiHidden/>
    <w:unhideWhenUsed/>
    <w:qFormat/>
    <w:uiPriority w:val="99"/>
    <w:pPr>
      <w:spacing w:line="240" w:lineRule="auto"/>
    </w:pPr>
    <w:rPr>
      <w:sz w:val="18"/>
      <w:szCs w:val="18"/>
    </w:rPr>
  </w:style>
  <w:style w:type="paragraph" w:styleId="15">
    <w:name w:val="footer"/>
    <w:basedOn w:val="1"/>
    <w:link w:val="30"/>
    <w:unhideWhenUsed/>
    <w:qFormat/>
    <w:uiPriority w:val="99"/>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16">
    <w:name w:val="header"/>
    <w:basedOn w:val="1"/>
    <w:next w:val="17"/>
    <w:link w:val="29"/>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customStyle="1" w:styleId="17">
    <w:name w:val="引用1"/>
    <w:basedOn w:val="1"/>
    <w:next w:val="1"/>
    <w:qFormat/>
    <w:uiPriority w:val="0"/>
    <w:pPr>
      <w:wordWrap w:val="0"/>
      <w:spacing w:before="200" w:after="160"/>
      <w:ind w:left="864" w:right="864"/>
      <w:jc w:val="center"/>
    </w:pPr>
    <w:rPr>
      <w:i/>
    </w:rPr>
  </w:style>
  <w:style w:type="paragraph" w:styleId="18">
    <w:name w:val="toc 1"/>
    <w:basedOn w:val="1"/>
    <w:next w:val="1"/>
    <w:unhideWhenUsed/>
    <w:qFormat/>
    <w:uiPriority w:val="39"/>
    <w:rPr>
      <w:rFonts w:ascii="黑体" w:hAnsi="黑体" w:eastAsia="黑体" w:cs="黑体"/>
    </w:rPr>
  </w:style>
  <w:style w:type="paragraph" w:styleId="19">
    <w:name w:val="toc 2"/>
    <w:basedOn w:val="1"/>
    <w:next w:val="1"/>
    <w:unhideWhenUsed/>
    <w:qFormat/>
    <w:uiPriority w:val="39"/>
    <w:pPr>
      <w:tabs>
        <w:tab w:val="right" w:leader="dot" w:pos="9016"/>
      </w:tabs>
      <w:ind w:left="600" w:leftChars="200" w:firstLine="0" w:firstLineChars="0"/>
    </w:pPr>
    <w:rPr>
      <w:rFonts w:ascii="仿宋" w:hAnsi="仿宋" w:eastAsia="仿宋" w:cs="仿宋"/>
    </w:rPr>
  </w:style>
  <w:style w:type="paragraph" w:styleId="20">
    <w:name w:val="Normal (Web)"/>
    <w:basedOn w:val="1"/>
    <w:next w:val="11"/>
    <w:qFormat/>
    <w:uiPriority w:val="0"/>
    <w:pPr>
      <w:spacing w:beforeAutospacing="1" w:afterAutospacing="1"/>
      <w:jc w:val="left"/>
    </w:pPr>
    <w:rPr>
      <w:kern w:val="0"/>
      <w:sz w:val="24"/>
    </w:rPr>
  </w:style>
  <w:style w:type="paragraph" w:styleId="21">
    <w:name w:val="annotation subject"/>
    <w:basedOn w:val="8"/>
    <w:next w:val="8"/>
    <w:link w:val="49"/>
    <w:semiHidden/>
    <w:unhideWhenUsed/>
    <w:qFormat/>
    <w:uiPriority w:val="99"/>
    <w:rPr>
      <w:b/>
      <w:bCs/>
    </w:rPr>
  </w:style>
  <w:style w:type="paragraph" w:styleId="22">
    <w:name w:val="Body Text First Indent 2"/>
    <w:basedOn w:val="10"/>
    <w:next w:val="1"/>
    <w:unhideWhenUsed/>
    <w:qFormat/>
    <w:uiPriority w:val="99"/>
    <w:pPr>
      <w:spacing w:after="120"/>
      <w:ind w:left="200" w:leftChars="200" w:firstLine="420" w:firstLineChars="200"/>
    </w:pPr>
    <w:rPr>
      <w:rFonts w:ascii="Times New Roman"/>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000FF"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character" w:customStyle="1" w:styleId="28">
    <w:name w:val="标题 2 字符"/>
    <w:basedOn w:val="25"/>
    <w:link w:val="3"/>
    <w:semiHidden/>
    <w:qFormat/>
    <w:uiPriority w:val="9"/>
    <w:rPr>
      <w:rFonts w:eastAsia="楷体" w:asciiTheme="majorHAnsi" w:hAnsiTheme="majorHAnsi" w:cstheme="majorBidi"/>
      <w:b/>
      <w:bCs/>
      <w:sz w:val="32"/>
      <w:szCs w:val="32"/>
    </w:rPr>
  </w:style>
  <w:style w:type="character" w:customStyle="1" w:styleId="29">
    <w:name w:val="页眉 字符"/>
    <w:basedOn w:val="25"/>
    <w:link w:val="16"/>
    <w:qFormat/>
    <w:uiPriority w:val="99"/>
    <w:rPr>
      <w:sz w:val="18"/>
      <w:szCs w:val="18"/>
    </w:rPr>
  </w:style>
  <w:style w:type="character" w:customStyle="1" w:styleId="30">
    <w:name w:val="页脚 字符"/>
    <w:basedOn w:val="25"/>
    <w:link w:val="15"/>
    <w:qFormat/>
    <w:uiPriority w:val="99"/>
    <w:rPr>
      <w:sz w:val="18"/>
      <w:szCs w:val="18"/>
    </w:rPr>
  </w:style>
  <w:style w:type="character" w:customStyle="1" w:styleId="31">
    <w:name w:val="标题 1 字符"/>
    <w:basedOn w:val="25"/>
    <w:link w:val="2"/>
    <w:qFormat/>
    <w:uiPriority w:val="9"/>
    <w:rPr>
      <w:rFonts w:ascii="Calibri" w:hAnsi="Calibri" w:eastAsia="黑体" w:cs="Times New Roman"/>
      <w:bCs/>
      <w:kern w:val="44"/>
      <w:sz w:val="32"/>
      <w:szCs w:val="44"/>
    </w:rPr>
  </w:style>
  <w:style w:type="paragraph" w:customStyle="1" w:styleId="32">
    <w:name w:val="TOC 标题1"/>
    <w:basedOn w:val="2"/>
    <w:next w:val="1"/>
    <w:unhideWhenUsed/>
    <w:qFormat/>
    <w:uiPriority w:val="39"/>
    <w:pPr>
      <w:widowControl/>
      <w:adjustRightInd/>
      <w:snapToGrid/>
      <w:spacing w:before="480" w:line="276" w:lineRule="auto"/>
      <w:ind w:firstLine="0" w:firstLineChars="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25"/>
    <w:link w:val="14"/>
    <w:semiHidden/>
    <w:qFormat/>
    <w:uiPriority w:val="99"/>
    <w:rPr>
      <w:rFonts w:ascii="Calibri" w:hAnsi="Calibri" w:eastAsia="仿宋_GB2312" w:cs="Times New Roman"/>
      <w:sz w:val="18"/>
      <w:szCs w:val="18"/>
    </w:rPr>
  </w:style>
  <w:style w:type="character" w:customStyle="1" w:styleId="34">
    <w:name w:val="标题 3 字符"/>
    <w:basedOn w:val="25"/>
    <w:link w:val="5"/>
    <w:semiHidden/>
    <w:qFormat/>
    <w:uiPriority w:val="9"/>
    <w:rPr>
      <w:rFonts w:ascii="Calibri" w:hAnsi="Calibri" w:eastAsia="仿宋_GB2312" w:cs="Times New Roman"/>
      <w:b/>
      <w:bCs/>
      <w:sz w:val="32"/>
      <w:szCs w:val="32"/>
    </w:rPr>
  </w:style>
  <w:style w:type="character" w:customStyle="1" w:styleId="35">
    <w:name w:val="标题 4 字符"/>
    <w:basedOn w:val="25"/>
    <w:link w:val="6"/>
    <w:qFormat/>
    <w:uiPriority w:val="9"/>
    <w:rPr>
      <w:rFonts w:ascii="Calibri Light" w:hAnsi="Calibri Light" w:eastAsia="仿宋_GB2312" w:cs="Times New Roman"/>
      <w:b/>
      <w:bCs/>
      <w:sz w:val="30"/>
      <w:szCs w:val="28"/>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7">
    <w:name w:val="WPSOffice手动目录 3"/>
    <w:qFormat/>
    <w:uiPriority w:val="0"/>
    <w:pPr>
      <w:ind w:left="400" w:leftChars="400"/>
    </w:pPr>
    <w:rPr>
      <w:rFonts w:asciiTheme="minorHAnsi" w:hAnsiTheme="minorHAnsi" w:eastAsiaTheme="minorEastAsia" w:cstheme="minorBidi"/>
      <w:lang w:val="en-US" w:eastAsia="zh-CN" w:bidi="ar-SA"/>
    </w:rPr>
  </w:style>
  <w:style w:type="paragraph" w:styleId="38">
    <w:name w:val="List Paragraph"/>
    <w:basedOn w:val="1"/>
    <w:qFormat/>
    <w:uiPriority w:val="34"/>
    <w:pPr>
      <w:ind w:firstLine="420"/>
    </w:p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character" w:customStyle="1" w:styleId="40">
    <w:name w:val="font71"/>
    <w:basedOn w:val="25"/>
    <w:qFormat/>
    <w:uiPriority w:val="0"/>
    <w:rPr>
      <w:rFonts w:hint="eastAsia" w:ascii="华文仿宋" w:hAnsi="华文仿宋" w:eastAsia="华文仿宋" w:cs="华文仿宋"/>
      <w:color w:val="000000"/>
      <w:sz w:val="22"/>
      <w:szCs w:val="22"/>
      <w:u w:val="none"/>
    </w:rPr>
  </w:style>
  <w:style w:type="character" w:customStyle="1" w:styleId="41">
    <w:name w:val="font11"/>
    <w:basedOn w:val="25"/>
    <w:qFormat/>
    <w:uiPriority w:val="0"/>
    <w:rPr>
      <w:rFonts w:hint="eastAsia" w:ascii="华文仿宋" w:hAnsi="华文仿宋" w:eastAsia="华文仿宋" w:cs="华文仿宋"/>
      <w:color w:val="000000"/>
      <w:sz w:val="21"/>
      <w:szCs w:val="21"/>
      <w:u w:val="none"/>
    </w:rPr>
  </w:style>
  <w:style w:type="paragraph" w:customStyle="1" w:styleId="42">
    <w:name w:val="Default"/>
    <w:unhideWhenUsed/>
    <w:qFormat/>
    <w:uiPriority w:val="99"/>
    <w:pPr>
      <w:widowControl w:val="0"/>
      <w:autoSpaceDE w:val="0"/>
      <w:autoSpaceDN w:val="0"/>
      <w:adjustRightInd w:val="0"/>
    </w:pPr>
    <w:rPr>
      <w:rFonts w:ascii="仿宋_GB2312" w:hAnsi="仿宋_GB2312" w:eastAsia="仿宋_GB2312" w:cs="Times New Roman"/>
      <w:color w:val="000000"/>
      <w:sz w:val="24"/>
      <w:szCs w:val="24"/>
      <w:lang w:val="en-US" w:eastAsia="zh-CN" w:bidi="ar-SA"/>
    </w:rPr>
  </w:style>
  <w:style w:type="character" w:customStyle="1" w:styleId="43">
    <w:name w:val="正文文本缩进 字符"/>
    <w:basedOn w:val="25"/>
    <w:link w:val="10"/>
    <w:qFormat/>
    <w:uiPriority w:val="0"/>
    <w:rPr>
      <w:rFonts w:hint="default" w:ascii="Calibri" w:hAnsi="Calibri" w:cs="Calibri"/>
      <w:kern w:val="2"/>
      <w:sz w:val="21"/>
      <w:szCs w:val="24"/>
    </w:rPr>
  </w:style>
  <w:style w:type="character" w:customStyle="1" w:styleId="44">
    <w:name w:val="正文文本首行缩进 2 字符"/>
    <w:basedOn w:val="43"/>
    <w:qFormat/>
    <w:uiPriority w:val="0"/>
    <w:rPr>
      <w:rFonts w:hint="default" w:ascii="Calibri" w:hAnsi="Calibri" w:cs="Calibri"/>
      <w:kern w:val="2"/>
      <w:sz w:val="21"/>
      <w:szCs w:val="24"/>
    </w:rPr>
  </w:style>
  <w:style w:type="character" w:customStyle="1" w:styleId="45">
    <w:name w:val="font81"/>
    <w:basedOn w:val="25"/>
    <w:qFormat/>
    <w:uiPriority w:val="0"/>
    <w:rPr>
      <w:rFonts w:hint="eastAsia" w:ascii="仿宋" w:hAnsi="仿宋" w:eastAsia="仿宋" w:cs="仿宋"/>
      <w:color w:val="000000"/>
      <w:sz w:val="20"/>
      <w:szCs w:val="20"/>
      <w:u w:val="none"/>
    </w:rPr>
  </w:style>
  <w:style w:type="character" w:customStyle="1" w:styleId="46">
    <w:name w:val="font91"/>
    <w:basedOn w:val="25"/>
    <w:qFormat/>
    <w:uiPriority w:val="0"/>
    <w:rPr>
      <w:rFonts w:hint="eastAsia" w:ascii="宋体" w:hAnsi="宋体" w:eastAsia="宋体" w:cs="宋体"/>
      <w:color w:val="000000"/>
      <w:sz w:val="16"/>
      <w:szCs w:val="16"/>
      <w:u w:val="none"/>
    </w:rPr>
  </w:style>
  <w:style w:type="character" w:customStyle="1" w:styleId="47">
    <w:name w:val="font101"/>
    <w:basedOn w:val="25"/>
    <w:qFormat/>
    <w:uiPriority w:val="0"/>
    <w:rPr>
      <w:rFonts w:hint="eastAsia" w:ascii="宋体" w:hAnsi="宋体" w:eastAsia="宋体" w:cs="宋体"/>
      <w:color w:val="000000"/>
      <w:sz w:val="20"/>
      <w:szCs w:val="20"/>
      <w:u w:val="none"/>
    </w:rPr>
  </w:style>
  <w:style w:type="character" w:customStyle="1" w:styleId="48">
    <w:name w:val="批注文字 字符"/>
    <w:basedOn w:val="25"/>
    <w:link w:val="8"/>
    <w:qFormat/>
    <w:uiPriority w:val="99"/>
    <w:rPr>
      <w:rFonts w:eastAsia="仿宋_GB2312"/>
      <w:kern w:val="2"/>
      <w:sz w:val="30"/>
      <w:szCs w:val="24"/>
    </w:rPr>
  </w:style>
  <w:style w:type="character" w:customStyle="1" w:styleId="49">
    <w:name w:val="批注主题 字符"/>
    <w:basedOn w:val="48"/>
    <w:link w:val="21"/>
    <w:semiHidden/>
    <w:qFormat/>
    <w:uiPriority w:val="99"/>
    <w:rPr>
      <w:rFonts w:eastAsia="仿宋_GB2312"/>
      <w:b/>
      <w:bCs/>
      <w:kern w:val="2"/>
      <w:sz w:val="30"/>
      <w:szCs w:val="24"/>
    </w:rPr>
  </w:style>
  <w:style w:type="character" w:customStyle="1" w:styleId="50">
    <w:name w:val="未处理的提及1"/>
    <w:basedOn w:val="25"/>
    <w:semiHidden/>
    <w:unhideWhenUsed/>
    <w:qFormat/>
    <w:uiPriority w:val="99"/>
    <w:rPr>
      <w:color w:val="605E5C"/>
      <w:shd w:val="clear" w:color="auto" w:fill="E1DFDD"/>
    </w:rPr>
  </w:style>
  <w:style w:type="character" w:customStyle="1" w:styleId="51">
    <w:name w:val="正文文本 字符"/>
    <w:basedOn w:val="25"/>
    <w:link w:val="9"/>
    <w:qFormat/>
    <w:uiPriority w:val="99"/>
    <w:rPr>
      <w:rFonts w:eastAsia="仿宋_GB2312"/>
      <w:kern w:val="2"/>
      <w:sz w:val="30"/>
      <w:szCs w:val="24"/>
    </w:rPr>
  </w:style>
  <w:style w:type="character" w:customStyle="1" w:styleId="52">
    <w:name w:val="font21"/>
    <w:basedOn w:val="25"/>
    <w:qFormat/>
    <w:uiPriority w:val="0"/>
    <w:rPr>
      <w:rFonts w:hint="eastAsia" w:ascii="仿宋_GB2312" w:eastAsia="仿宋_GB2312"/>
      <w:b/>
      <w:bCs/>
      <w:color w:val="000000"/>
      <w:sz w:val="21"/>
      <w:szCs w:val="21"/>
      <w:u w:val="none"/>
    </w:rPr>
  </w:style>
  <w:style w:type="character" w:customStyle="1" w:styleId="53">
    <w:name w:val="font31"/>
    <w:basedOn w:val="25"/>
    <w:qFormat/>
    <w:uiPriority w:val="0"/>
    <w:rPr>
      <w:rFonts w:hint="eastAsia" w:ascii="仿宋_GB2312" w:eastAsia="仿宋_GB2312" w:cs="仿宋_GB2312"/>
      <w:color w:val="FF0000"/>
      <w:sz w:val="20"/>
      <w:szCs w:val="20"/>
      <w:u w:val="none"/>
    </w:rPr>
  </w:style>
  <w:style w:type="table" w:customStyle="1" w:styleId="54">
    <w:name w:val="Table Normal"/>
    <w:semiHidden/>
    <w:unhideWhenUsed/>
    <w:qFormat/>
    <w:uiPriority w:val="0"/>
    <w:tblPr>
      <w:tblCellMar>
        <w:top w:w="0" w:type="dxa"/>
        <w:left w:w="0" w:type="dxa"/>
        <w:bottom w:w="0" w:type="dxa"/>
        <w:right w:w="0" w:type="dxa"/>
      </w:tblCellMar>
    </w:tblPr>
  </w:style>
  <w:style w:type="character" w:customStyle="1" w:styleId="55">
    <w:name w:val="font51"/>
    <w:basedOn w:val="25"/>
    <w:qFormat/>
    <w:uiPriority w:val="0"/>
    <w:rPr>
      <w:rFonts w:hint="eastAsia" w:ascii="仿宋_GB2312" w:eastAsia="仿宋_GB2312" w:cs="仿宋_GB2312"/>
      <w:color w:val="000000"/>
      <w:sz w:val="20"/>
      <w:szCs w:val="20"/>
      <w:u w:val="none"/>
    </w:rPr>
  </w:style>
  <w:style w:type="table" w:customStyle="1" w:styleId="56">
    <w:name w:val="Table-temp"/>
    <w:basedOn w:val="23"/>
    <w:qFormat/>
    <w:uiPriority w:val="99"/>
    <w:pPr>
      <w:jc w:val="both"/>
    </w:pPr>
    <w:rPr>
      <w:rFonts w:asciiTheme="minorEastAsia" w:hAnsiTheme="minorEastAsia" w:cstheme="minorEastAsia"/>
      <w:color w:val="404040" w:themeColor="text1" w:themeTint="BF"/>
      <w:sz w:val="18"/>
      <w:szCs w:val="15"/>
      <w14:textFill>
        <w14:solidFill>
          <w14:schemeClr w14:val="tx1">
            <w14:lumMod w14:val="75000"/>
            <w14:lumOff w14:val="25000"/>
          </w14:schemeClr>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color w:val="808080" w:themeColor="text1" w:themeTint="80"/>
        <w14:textFill>
          <w14:solidFill>
            <w14:schemeClr w14:val="tx1">
              <w14:lumMod w14:val="50000"/>
              <w14:lumOff w14:val="50000"/>
            </w14:schemeClr>
          </w14:solidFill>
        </w14:textFill>
      </w:rPr>
      <w:tcPr>
        <w:shd w:val="clear" w:color="auto" w:fill="F1F1F1" w:themeFill="background1" w:themeFillShade="F2"/>
      </w:tcPr>
    </w:tblStylePr>
    <w:tblStylePr w:type="firstCol">
      <w:rPr>
        <w:color w:val="808080" w:themeColor="text1" w:themeTint="80"/>
        <w14:textFill>
          <w14:solidFill>
            <w14:schemeClr w14:val="tx1">
              <w14:lumMod w14:val="50000"/>
              <w14:lumOff w14:val="50000"/>
            </w14:schemeClr>
          </w14:solidFill>
        </w14:textFill>
      </w:rPr>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01000702_&#25353;&#25991;&#26412;_&#26477;&#38182;&#26071;&#20154;&#27665;&#26816;&#23519;&#38498;&#24037;&#20316;&#28385;&#24847;&#35843;&#26597;&#38382;&#21367;.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301000702_&#25353;&#25991;&#26412;_&#26477;&#38182;&#26071;&#20154;&#27665;&#26816;&#23519;&#38498;&#24037;&#20316;&#28385;&#24847;&#35843;&#26597;&#38382;&#21367;.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301000702_&#25353;&#25991;&#26412;_&#26477;&#38182;&#26071;&#20154;&#27665;&#26816;&#23519;&#38498;&#24037;&#20316;&#28385;&#24847;&#35843;&#26597;&#38382;&#21367;.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301000702_&#25353;&#25991;&#26412;_&#26477;&#38182;&#26071;&#20154;&#27665;&#26816;&#23519;&#38498;&#24037;&#20316;&#28385;&#24847;&#35843;&#26597;&#38382;&#21367;.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301000702_&#25353;&#25991;&#26412;_&#26477;&#38182;&#26071;&#20154;&#27665;&#26816;&#23519;&#38498;&#24037;&#20316;&#28385;&#24847;&#35843;&#26597;&#38382;&#21367;.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dministrator\Desktop\301000702_&#25353;&#25991;&#26412;_&#26477;&#38182;&#26071;&#20154;&#27665;&#26816;&#23519;&#38498;&#24037;&#20316;&#28385;&#24847;&#35843;&#26597;&#38382;&#21367;.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301000702_&#25353;&#25991;&#26412;_&#26477;&#38182;&#26071;&#20154;&#27665;&#26816;&#23519;&#38498;&#24037;&#20316;&#28385;&#24847;&#35843;&#26597;&#38382;&#21367;.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dministrator\Desktop\301000702_&#25353;&#25991;&#26412;_&#26477;&#38182;&#26071;&#20154;&#27665;&#26816;&#23519;&#38498;&#24037;&#20316;&#28385;&#24847;&#35843;&#26597;&#38382;&#21367;.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01000702_&#25353;&#25991;&#26412;_&#26477;&#38182;&#26071;&#20154;&#27665;&#26816;&#23519;&#38498;&#24037;&#20316;&#28385;&#24847;&#35843;&#26597;&#38382;&#21367;.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301000702_&#25353;&#25991;&#26412;_&#26477;&#38182;&#26071;&#20154;&#27665;&#26816;&#23519;&#38498;&#24037;&#20316;&#28385;&#24847;&#35843;&#26597;&#38382;&#2136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2521246458923"/>
          <c:y val="0.306432748538012"/>
          <c:w val="0.284844192634561"/>
          <c:h val="0.470409356725146"/>
        </c:manualLayout>
      </c:layout>
      <c:doughnut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80594900849858"/>
                  <c:y val="0.0745860714779073"/>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800">
                        <a:latin typeface="黑体" panose="02010609060101010101" charset="-122"/>
                        <a:ea typeface="黑体" panose="02010609060101010101" charset="-122"/>
                        <a:cs typeface="黑体" panose="02010609060101010101" charset="-122"/>
                        <a:sym typeface="黑体" panose="02010609060101010101" charset="-122"/>
                      </a:rPr>
                      <a:t>非常满意</a:t>
                    </a:r>
                    <a:r>
                      <a:rPr lang="en-US" altLang="zh-CN" sz="800">
                        <a:latin typeface="黑体" panose="02010609060101010101" charset="-122"/>
                        <a:ea typeface="黑体" panose="02010609060101010101" charset="-122"/>
                        <a:cs typeface="黑体" panose="02010609060101010101" charset="-122"/>
                        <a:sym typeface="黑体" panose="02010609060101010101" charset="-122"/>
                      </a:rPr>
                      <a:t>92.16%</a:t>
                    </a:r>
                    <a:r>
                      <a:rPr sz="800">
                        <a:latin typeface="黑体" panose="02010609060101010101" charset="-122"/>
                        <a:ea typeface="黑体" panose="02010609060101010101" charset="-122"/>
                        <a:cs typeface="黑体" panose="02010609060101010101" charset="-122"/>
                        <a:sym typeface="黑体" panose="02010609060101010101" charset="-122"/>
                      </a:rPr>
                      <a:t> </a:t>
                    </a:r>
                    <a:endParaRPr sz="800">
                      <a:latin typeface="黑体" panose="02010609060101010101" charset="-122"/>
                      <a:ea typeface="黑体" panose="02010609060101010101" charset="-122"/>
                      <a:cs typeface="黑体" panose="02010609060101010101" charset="-122"/>
                      <a:sym typeface="黑体" panose="02010609060101010101" charset="-122"/>
                    </a:endParaRPr>
                  </a:p>
                </c:rich>
              </c:tx>
              <c:showLegendKey val="0"/>
              <c:showVal val="1"/>
              <c:showCatName val="1"/>
              <c:showSerName val="0"/>
              <c:showPercent val="0"/>
              <c:showBubbleSize val="0"/>
              <c:extLst>
                <c:ext xmlns:c15="http://schemas.microsoft.com/office/drawing/2012/chart" uri="{CE6537A1-D6FC-4f65-9D91-7224C49458BB}">
                  <c15:layout>
                    <c:manualLayout>
                      <c:w val="0.18271954674221"/>
                      <c:h val="0.0804678362573099"/>
                    </c:manualLayout>
                  </c15:layout>
                </c:ext>
              </c:extLst>
            </c:dLbl>
            <c:dLbl>
              <c:idx val="1"/>
              <c:layout>
                <c:manualLayout>
                  <c:x val="-0.159348441926346"/>
                  <c:y val="0.0168728908886389"/>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69971671388102"/>
                  <c:y val="-0.0457679632151244"/>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18980169971671"/>
                  <c:y val="-0.114716910386202"/>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[301000702_按文本_杭锦旗人民检察院工作满意调查问卷.xlsx]Sheet3!$A$1:$A$4</c:f>
              <c:strCache>
                <c:ptCount val="4"/>
                <c:pt idx="0">
                  <c:v>非常满意</c:v>
                </c:pt>
                <c:pt idx="1">
                  <c:v>满意</c:v>
                </c:pt>
                <c:pt idx="2">
                  <c:v>一般</c:v>
                </c:pt>
                <c:pt idx="3">
                  <c:v>不满意</c:v>
                </c:pt>
              </c:strCache>
            </c:strRef>
          </c:cat>
          <c:val>
            <c:numRef>
              <c:f>[301000702_按文本_杭锦旗人民检察院工作满意调查问卷.xlsx]Sheet3!$B$1:$B$4</c:f>
              <c:numCache>
                <c:formatCode>0.00%</c:formatCode>
                <c:ptCount val="4"/>
                <c:pt idx="0">
                  <c:v>0.9216</c:v>
                </c:pt>
                <c:pt idx="1">
                  <c:v>0.0588</c:v>
                </c:pt>
                <c:pt idx="2">
                  <c:v>0.0196</c:v>
                </c:pt>
                <c:pt idx="3">
                  <c:v>0</c:v>
                </c:pt>
              </c:numCache>
            </c:numRef>
          </c:val>
        </c:ser>
        <c:dLbls>
          <c:showLegendKey val="0"/>
          <c:showVal val="1"/>
          <c:showCatName val="1"/>
          <c:showSerName val="0"/>
          <c:showPercent val="0"/>
          <c:showBubbleSize val="0"/>
          <c:showLeaderLines val="1"/>
        </c:dLbls>
        <c:firstSliceAng val="0"/>
        <c:holeSize val="60"/>
      </c:doughnutChart>
      <c:spPr>
        <a:noFill/>
        <a:ln>
          <a:noFill/>
        </a:ln>
        <a:effectLst/>
      </c:spPr>
    </c:plotArea>
    <c:legend>
      <c:legendPos val="t"/>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3"/>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295396600566572"/>
          <c:y val="0.915087719298246"/>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gap"/>
    <c:showDLblsOverMax val="0"/>
    <c:extLst>
      <c:ext uri="{0b15fc19-7d7d-44ad-8c2d-2c3a37ce22c3}">
        <chartProps xmlns="https://web.wps.cn/et/2018/main" chartId="{3b07f7c6-18e4-49e3-8184-336340efe332}"/>
      </c:ext>
    </c:extLst>
  </c:chart>
  <c:spPr>
    <a:solidFill>
      <a:schemeClr val="accent5">
        <a:alpha val="0"/>
      </a:schemeClr>
    </a:solidFill>
    <a:ln w="9525" cap="flat" cmpd="sng" algn="ctr">
      <a:solidFill>
        <a:schemeClr val="tx1">
          <a:lumMod val="15000"/>
          <a:lumOff val="85000"/>
        </a:schemeClr>
      </a:solidFill>
      <a:round/>
    </a:ln>
    <a:effectLst/>
  </c:spPr>
  <c:txPr>
    <a:bodyPr/>
    <a:lstStyle/>
    <a:p>
      <a:pPr>
        <a:defRPr lang="zh-CN" sz="1000">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148020027003"/>
          <c:y val="0.134958791208791"/>
          <c:w val="0.270368034434224"/>
          <c:h val="0.63181815739179"/>
        </c:manualLayout>
      </c:layout>
      <c:doughnut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51973684210526"/>
                  <c:y val="0.0684723067559343"/>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875"/>
                  <c:y val="0.00456482045039562"/>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875"/>
                  <c:y val="-0.0684723067559343"/>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48026315789474"/>
                  <c:y val="-0.136944613511869"/>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[301000702_按文本_杭锦旗人民检察院工作满意调查问卷.xlsx]Sheet3!$A$120:$A$123</c:f>
              <c:strCache>
                <c:ptCount val="4"/>
                <c:pt idx="0">
                  <c:v>非常满意</c:v>
                </c:pt>
                <c:pt idx="1">
                  <c:v>满意</c:v>
                </c:pt>
                <c:pt idx="2">
                  <c:v>一般</c:v>
                </c:pt>
                <c:pt idx="3">
                  <c:v>不满意</c:v>
                </c:pt>
              </c:strCache>
            </c:strRef>
          </c:cat>
          <c:val>
            <c:numRef>
              <c:f>[301000702_按文本_杭锦旗人民检察院工作满意调查问卷.xlsx]Sheet3!$B$120:$B$123</c:f>
              <c:numCache>
                <c:formatCode>0.00%</c:formatCode>
                <c:ptCount val="4"/>
                <c:pt idx="0">
                  <c:v>0.9216</c:v>
                </c:pt>
                <c:pt idx="1">
                  <c:v>0.0784</c:v>
                </c:pt>
                <c:pt idx="2">
                  <c:v>0</c:v>
                </c:pt>
                <c:pt idx="3">
                  <c:v>0</c:v>
                </c:pt>
              </c:numCache>
            </c:numRef>
          </c:val>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t"/>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321776315789474"/>
          <c:y val="0.842935095015892"/>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gap"/>
    <c:showDLblsOverMax val="0"/>
    <c:extLst>
      <c:ext uri="{0b15fc19-7d7d-44ad-8c2d-2c3a37ce22c3}">
        <chartProps xmlns="https://web.wps.cn/et/2018/main" chartId="{7bd6aac6-7ba5-47a8-b5c0-5806625023d8}"/>
      </c:ext>
    </c:extLst>
  </c:chart>
  <c:spPr>
    <a:solidFill>
      <a:schemeClr val="bg1">
        <a:alpha val="0"/>
      </a:schemeClr>
    </a:solidFill>
    <a:ln w="9525" cap="flat" cmpd="sng" algn="ctr">
      <a:solidFill>
        <a:schemeClr val="tx1">
          <a:lumMod val="15000"/>
          <a:lumOff val="85000"/>
        </a:schemeClr>
      </a:solidFill>
      <a:round/>
    </a:ln>
    <a:effectLst/>
  </c:spPr>
  <c:txPr>
    <a:bodyPr/>
    <a:lstStyle/>
    <a:p>
      <a:pPr>
        <a:defRPr lang="zh-CN" sz="800">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9852071005917"/>
          <c:y val="0.150658078969476"/>
          <c:w val="0.293786982248521"/>
          <c:h val="0.556146737608513"/>
        </c:manualLayout>
      </c:layout>
      <c:doughnut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26315789473684"/>
                  <c:y val="0.0694444444444444"/>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800">
                        <a:latin typeface="黑体" panose="02010609060101010101" charset="-122"/>
                        <a:ea typeface="黑体" panose="02010609060101010101" charset="-122"/>
                        <a:cs typeface="黑体" panose="02010609060101010101" charset="-122"/>
                        <a:sym typeface="黑体" panose="02010609060101010101" charset="-122"/>
                      </a:rPr>
                      <a:t>非常满意</a:t>
                    </a:r>
                    <a:r>
                      <a:rPr lang="en-US" altLang="zh-CN" sz="800">
                        <a:latin typeface="黑体" panose="02010609060101010101" charset="-122"/>
                        <a:ea typeface="黑体" panose="02010609060101010101" charset="-122"/>
                        <a:cs typeface="黑体" panose="02010609060101010101" charset="-122"/>
                        <a:sym typeface="黑体" panose="02010609060101010101" charset="-122"/>
                      </a:rPr>
                      <a:t>86.27%</a:t>
                    </a:r>
                    <a:endParaRPr lang="en-US" altLang="zh-CN" sz="800">
                      <a:latin typeface="黑体" panose="02010609060101010101" charset="-122"/>
                      <a:ea typeface="黑体" panose="02010609060101010101" charset="-122"/>
                      <a:cs typeface="黑体" panose="02010609060101010101" charset="-122"/>
                      <a:sym typeface="黑体" panose="02010609060101010101" charset="-122"/>
                    </a:endParaRPr>
                  </a:p>
                </c:rich>
              </c:tx>
              <c:showLegendKey val="0"/>
              <c:showVal val="1"/>
              <c:showCatName val="1"/>
              <c:showSerName val="0"/>
              <c:showPercent val="0"/>
              <c:showBubbleSize val="0"/>
              <c:extLst>
                <c:ext xmlns:c15="http://schemas.microsoft.com/office/drawing/2012/chart" uri="{CE6537A1-D6FC-4f65-9D91-7224C49458BB}">
                  <c15:layout>
                    <c:manualLayout>
                      <c:w val="0.196315789473684"/>
                      <c:h val="0.094212962962963"/>
                    </c:manualLayout>
                  </c15:layout>
                </c:ext>
              </c:extLst>
            </c:dLbl>
            <c:dLbl>
              <c:idx val="1"/>
              <c:layout>
                <c:manualLayout>
                  <c:x val="-0.155921052631579"/>
                  <c:y val="0.0138888888888889"/>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800">
                        <a:latin typeface="黑体" panose="02010609060101010101" charset="-122"/>
                        <a:ea typeface="黑体" panose="02010609060101010101" charset="-122"/>
                        <a:cs typeface="黑体" panose="02010609060101010101" charset="-122"/>
                        <a:sym typeface="黑体" panose="02010609060101010101" charset="-122"/>
                      </a:rPr>
                      <a:t>满意 13.73%</a:t>
                    </a:r>
                    <a:endParaRPr sz="800">
                      <a:latin typeface="黑体" panose="02010609060101010101" charset="-122"/>
                      <a:ea typeface="黑体" panose="02010609060101010101" charset="-122"/>
                      <a:cs typeface="黑体" panose="02010609060101010101" charset="-122"/>
                      <a:sym typeface="黑体" panose="02010609060101010101" charset="-122"/>
                    </a:endParaRPr>
                  </a:p>
                </c:rich>
              </c:tx>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57894736842105"/>
                  <c:y val="-0.041666666666666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800">
                        <a:latin typeface="黑体" panose="02010609060101010101" charset="-122"/>
                        <a:ea typeface="黑体" panose="02010609060101010101" charset="-122"/>
                        <a:cs typeface="黑体" panose="02010609060101010101" charset="-122"/>
                        <a:sym typeface="黑体" panose="02010609060101010101" charset="-122"/>
                      </a:rPr>
                      <a:t>一般0.00%</a:t>
                    </a:r>
                    <a:endParaRPr sz="800">
                      <a:latin typeface="黑体" panose="02010609060101010101" charset="-122"/>
                      <a:ea typeface="黑体" panose="02010609060101010101" charset="-122"/>
                      <a:cs typeface="黑体" panose="02010609060101010101" charset="-122"/>
                      <a:sym typeface="黑体" panose="02010609060101010101" charset="-122"/>
                    </a:endParaRPr>
                  </a:p>
                </c:rich>
              </c:tx>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14473684210526"/>
                  <c:y val="-0.10416666666666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800">
                        <a:latin typeface="黑体" panose="02010609060101010101" charset="-122"/>
                        <a:ea typeface="黑体" panose="02010609060101010101" charset="-122"/>
                        <a:cs typeface="黑体" panose="02010609060101010101" charset="-122"/>
                        <a:sym typeface="黑体" panose="02010609060101010101" charset="-122"/>
                      </a:rPr>
                      <a:t>不满意0.00%</a:t>
                    </a:r>
                    <a:endParaRPr sz="800">
                      <a:latin typeface="黑体" panose="02010609060101010101" charset="-122"/>
                      <a:ea typeface="黑体" panose="02010609060101010101" charset="-122"/>
                      <a:cs typeface="黑体" panose="02010609060101010101" charset="-122"/>
                      <a:sym typeface="黑体" panose="02010609060101010101" charset="-122"/>
                    </a:endParaRPr>
                  </a:p>
                </c:rich>
              </c:tx>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[301000702_按文本_杭锦旗人民检察院工作满意调查问卷.xlsx]Sheet3!$A$24:$A$27</c:f>
              <c:strCache>
                <c:ptCount val="4"/>
                <c:pt idx="0">
                  <c:v>非常满意</c:v>
                </c:pt>
                <c:pt idx="1">
                  <c:v>满意</c:v>
                </c:pt>
                <c:pt idx="2">
                  <c:v>一般</c:v>
                </c:pt>
                <c:pt idx="3">
                  <c:v>不满意</c:v>
                </c:pt>
              </c:strCache>
            </c:strRef>
          </c:cat>
          <c:val>
            <c:numRef>
              <c:f>[301000702_按文本_杭锦旗人民检察院工作满意调查问卷.xlsx]Sheet3!$B$24:$B$27</c:f>
              <c:numCache>
                <c:formatCode>0.00%</c:formatCode>
                <c:ptCount val="4"/>
                <c:pt idx="0">
                  <c:v>0.8627</c:v>
                </c:pt>
                <c:pt idx="1">
                  <c:v>0.1373</c:v>
                </c:pt>
                <c:pt idx="2">
                  <c:v>0</c:v>
                </c:pt>
                <c:pt idx="3">
                  <c:v>0</c:v>
                </c:pt>
              </c:numCache>
            </c:numRef>
          </c:val>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t"/>
      <c:layout>
        <c:manualLayout>
          <c:xMode val="edge"/>
          <c:yMode val="edge"/>
          <c:x val="0.304013157894737"/>
          <c:y val="0.82066595625592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bdfd337-771d-4de8-aa52-10ce21ade5ad}"/>
      </c:ext>
    </c:extLst>
  </c:chart>
  <c:spPr>
    <a:solidFill>
      <a:schemeClr val="bg1">
        <a:alpha val="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6856134561987"/>
          <c:y val="0.183156677768543"/>
          <c:w val="0.299956778562167"/>
          <c:h val="0.533709305306332"/>
        </c:manualLayout>
      </c:layout>
      <c:doughnut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57758248091053"/>
                  <c:y val="0.053832350679313"/>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800">
                        <a:latin typeface="黑体" panose="02010609060101010101" charset="-122"/>
                        <a:ea typeface="黑体" panose="02010609060101010101" charset="-122"/>
                        <a:cs typeface="黑体" panose="02010609060101010101" charset="-122"/>
                        <a:sym typeface="黑体" panose="02010609060101010101" charset="-122"/>
                      </a:rPr>
                      <a:t>非常满意</a:t>
                    </a:r>
                    <a:r>
                      <a:rPr lang="en-US" altLang="zh-CN" sz="800">
                        <a:latin typeface="黑体" panose="02010609060101010101" charset="-122"/>
                        <a:ea typeface="黑体" panose="02010609060101010101" charset="-122"/>
                        <a:cs typeface="黑体" panose="02010609060101010101" charset="-122"/>
                        <a:sym typeface="黑体" panose="02010609060101010101" charset="-122"/>
                      </a:rPr>
                      <a:t>84.31%</a:t>
                    </a:r>
                    <a:endParaRPr lang="en-US" altLang="zh-CN" sz="800">
                      <a:latin typeface="黑体" panose="02010609060101010101" charset="-122"/>
                      <a:ea typeface="黑体" panose="02010609060101010101" charset="-122"/>
                      <a:cs typeface="黑体" panose="02010609060101010101" charset="-122"/>
                      <a:sym typeface="黑体" panose="02010609060101010101" charset="-122"/>
                    </a:endParaRPr>
                  </a:p>
                </c:rich>
              </c:tx>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72885751332661"/>
                  <c:y val="-0.0389793092580307"/>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92335398357585"/>
                  <c:y val="-0.0813515319634021"/>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42630744849445"/>
                  <c:y val="-0.138426044603948"/>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[301000702_按文本_杭锦旗人民检察院工作满意调查问卷.xlsx]Sheet3!$A$36:$A$39</c:f>
              <c:strCache>
                <c:ptCount val="4"/>
                <c:pt idx="0">
                  <c:v>非常满意</c:v>
                </c:pt>
                <c:pt idx="1">
                  <c:v>满意</c:v>
                </c:pt>
                <c:pt idx="2">
                  <c:v>一般</c:v>
                </c:pt>
                <c:pt idx="3">
                  <c:v>不满意</c:v>
                </c:pt>
              </c:strCache>
            </c:strRef>
          </c:cat>
          <c:val>
            <c:numRef>
              <c:f>[301000702_按文本_杭锦旗人民检察院工作满意调查问卷.xlsx]Sheet3!$B$36:$B$39</c:f>
              <c:numCache>
                <c:formatCode>0.00%</c:formatCode>
                <c:ptCount val="4"/>
                <c:pt idx="0">
                  <c:v>0.8431</c:v>
                </c:pt>
                <c:pt idx="1">
                  <c:v>0.1569</c:v>
                </c:pt>
                <c:pt idx="2">
                  <c:v>0</c:v>
                </c:pt>
                <c:pt idx="3">
                  <c:v>0</c:v>
                </c:pt>
              </c:numCache>
            </c:numRef>
          </c:val>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302039473684211"/>
          <c:y val="0.80138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gap"/>
    <c:showDLblsOverMax val="0"/>
    <c:extLst>
      <c:ext uri="{0b15fc19-7d7d-44ad-8c2d-2c3a37ce22c3}">
        <chartProps xmlns="https://web.wps.cn/et/2018/main" chartId="{2aed7165-a47b-4ace-aba5-f6a035cb5818}"/>
      </c:ext>
    </c:extLst>
  </c:chart>
  <c:spPr>
    <a:solidFill>
      <a:schemeClr val="bg1">
        <a:alpha val="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3157894736842"/>
          <c:y val="0.2175"/>
          <c:w val="0.250526315789474"/>
          <c:h val="0.528888888888889"/>
        </c:manualLayout>
      </c:layout>
      <c:doughnut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59868421052632"/>
                  <c:y val="0.054166666666666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800">
                        <a:latin typeface="黑体" panose="02010609060101010101" charset="-122"/>
                        <a:ea typeface="黑体" panose="02010609060101010101" charset="-122"/>
                        <a:cs typeface="黑体" panose="02010609060101010101" charset="-122"/>
                        <a:sym typeface="黑体" panose="02010609060101010101" charset="-122"/>
                      </a:rPr>
                      <a:t>非常满意</a:t>
                    </a:r>
                    <a:r>
                      <a:rPr lang="en-US" altLang="zh-CN" sz="800">
                        <a:latin typeface="黑体" panose="02010609060101010101" charset="-122"/>
                        <a:ea typeface="黑体" panose="02010609060101010101" charset="-122"/>
                        <a:cs typeface="黑体" panose="02010609060101010101" charset="-122"/>
                        <a:sym typeface="黑体" panose="02010609060101010101" charset="-122"/>
                      </a:rPr>
                      <a:t> </a:t>
                    </a:r>
                    <a:r>
                      <a:rPr sz="800">
                        <a:latin typeface="黑体" panose="02010609060101010101" charset="-122"/>
                        <a:ea typeface="黑体" panose="02010609060101010101" charset="-122"/>
                        <a:cs typeface="黑体" panose="02010609060101010101" charset="-122"/>
                        <a:sym typeface="黑体" panose="02010609060101010101" charset="-122"/>
                      </a:rPr>
                      <a:t>84.31%</a:t>
                    </a:r>
                    <a:endParaRPr sz="800">
                      <a:latin typeface="黑体" panose="02010609060101010101" charset="-122"/>
                      <a:ea typeface="黑体" panose="02010609060101010101" charset="-122"/>
                      <a:cs typeface="黑体" panose="02010609060101010101" charset="-122"/>
                      <a:sym typeface="黑体" panose="02010609060101010101" charset="-122"/>
                    </a:endParaRPr>
                  </a:p>
                </c:rich>
              </c:tx>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28289473684211"/>
                  <c:y val="-0.0041666666666666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800">
                        <a:latin typeface="黑体" panose="02010609060101010101" charset="-122"/>
                        <a:ea typeface="黑体" panose="02010609060101010101" charset="-122"/>
                        <a:cs typeface="黑体" panose="02010609060101010101" charset="-122"/>
                        <a:sym typeface="黑体" panose="02010609060101010101" charset="-122"/>
                      </a:rPr>
                      <a:t>满意</a:t>
                    </a:r>
                    <a:r>
                      <a:rPr lang="en-US" altLang="zh-CN" sz="800">
                        <a:latin typeface="黑体" panose="02010609060101010101" charset="-122"/>
                        <a:ea typeface="黑体" panose="02010609060101010101" charset="-122"/>
                        <a:cs typeface="黑体" panose="02010609060101010101" charset="-122"/>
                        <a:sym typeface="黑体" panose="02010609060101010101" charset="-122"/>
                      </a:rPr>
                      <a:t> </a:t>
                    </a:r>
                    <a:r>
                      <a:rPr sz="800">
                        <a:latin typeface="黑体" panose="02010609060101010101" charset="-122"/>
                        <a:ea typeface="黑体" panose="02010609060101010101" charset="-122"/>
                        <a:cs typeface="黑体" panose="02010609060101010101" charset="-122"/>
                        <a:sym typeface="黑体" panose="02010609060101010101" charset="-122"/>
                      </a:rPr>
                      <a:t>15.69%</a:t>
                    </a:r>
                    <a:endParaRPr sz="800">
                      <a:latin typeface="黑体" panose="02010609060101010101" charset="-122"/>
                      <a:ea typeface="黑体" panose="02010609060101010101" charset="-122"/>
                      <a:cs typeface="黑体" panose="02010609060101010101" charset="-122"/>
                      <a:sym typeface="黑体" panose="02010609060101010101" charset="-122"/>
                    </a:endParaRPr>
                  </a:p>
                </c:rich>
              </c:tx>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5"/>
                  <c:y val="-0.05"/>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800">
                        <a:latin typeface="黑体" panose="02010609060101010101" charset="-122"/>
                        <a:ea typeface="黑体" panose="02010609060101010101" charset="-122"/>
                        <a:cs typeface="黑体" panose="02010609060101010101" charset="-122"/>
                        <a:sym typeface="黑体" panose="02010609060101010101" charset="-122"/>
                      </a:rPr>
                      <a:t>一般</a:t>
                    </a:r>
                    <a:r>
                      <a:rPr lang="en-US" altLang="zh-CN" sz="800">
                        <a:latin typeface="黑体" panose="02010609060101010101" charset="-122"/>
                        <a:ea typeface="黑体" panose="02010609060101010101" charset="-122"/>
                        <a:cs typeface="黑体" panose="02010609060101010101" charset="-122"/>
                        <a:sym typeface="黑体" panose="02010609060101010101" charset="-122"/>
                      </a:rPr>
                      <a:t> </a:t>
                    </a:r>
                    <a:r>
                      <a:rPr sz="800">
                        <a:latin typeface="黑体" panose="02010609060101010101" charset="-122"/>
                        <a:ea typeface="黑体" panose="02010609060101010101" charset="-122"/>
                        <a:cs typeface="黑体" panose="02010609060101010101" charset="-122"/>
                        <a:sym typeface="黑体" panose="02010609060101010101" charset="-122"/>
                      </a:rPr>
                      <a:t>0.00%</a:t>
                    </a:r>
                    <a:endParaRPr sz="800">
                      <a:latin typeface="黑体" panose="02010609060101010101" charset="-122"/>
                      <a:ea typeface="黑体" panose="02010609060101010101" charset="-122"/>
                      <a:cs typeface="黑体" panose="02010609060101010101" charset="-122"/>
                      <a:sym typeface="黑体" panose="02010609060101010101" charset="-122"/>
                    </a:endParaRPr>
                  </a:p>
                </c:rich>
              </c:tx>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125"/>
                  <c:y val="-0.108333333333333"/>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800">
                        <a:latin typeface="黑体" panose="02010609060101010101" charset="-122"/>
                        <a:ea typeface="黑体" panose="02010609060101010101" charset="-122"/>
                        <a:cs typeface="黑体" panose="02010609060101010101" charset="-122"/>
                        <a:sym typeface="黑体" panose="02010609060101010101" charset="-122"/>
                      </a:rPr>
                      <a:t>不满意 0.00%</a:t>
                    </a:r>
                    <a:endParaRPr sz="800">
                      <a:latin typeface="黑体" panose="02010609060101010101" charset="-122"/>
                      <a:ea typeface="黑体" panose="02010609060101010101" charset="-122"/>
                      <a:cs typeface="黑体" panose="02010609060101010101" charset="-122"/>
                      <a:sym typeface="黑体" panose="02010609060101010101" charset="-122"/>
                    </a:endParaRPr>
                  </a:p>
                </c:rich>
              </c:tx>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[301000702_按文本_杭锦旗人民检察院工作满意调查问卷.xlsx]Sheet3!$A$51:$A$54</c:f>
              <c:strCache>
                <c:ptCount val="4"/>
                <c:pt idx="0">
                  <c:v>非常满意</c:v>
                </c:pt>
                <c:pt idx="1">
                  <c:v>满意</c:v>
                </c:pt>
                <c:pt idx="2">
                  <c:v>一般</c:v>
                </c:pt>
                <c:pt idx="3">
                  <c:v>不满意</c:v>
                </c:pt>
              </c:strCache>
            </c:strRef>
          </c:cat>
          <c:val>
            <c:numRef>
              <c:f>[301000702_按文本_杭锦旗人民检察院工作满意调查问卷.xlsx]Sheet3!$B$51:$B$54</c:f>
              <c:numCache>
                <c:formatCode>0.00%</c:formatCode>
                <c:ptCount val="4"/>
                <c:pt idx="0">
                  <c:v>0.8431</c:v>
                </c:pt>
                <c:pt idx="1">
                  <c:v>0.1569</c:v>
                </c:pt>
                <c:pt idx="2">
                  <c:v>0</c:v>
                </c:pt>
                <c:pt idx="3">
                  <c:v>0</c:v>
                </c:pt>
              </c:numCache>
            </c:numRef>
          </c:val>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t"/>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33953947368421"/>
          <c:y val="0.859722222222222"/>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gap"/>
    <c:showDLblsOverMax val="0"/>
    <c:extLst>
      <c:ext uri="{0b15fc19-7d7d-44ad-8c2d-2c3a37ce22c3}">
        <chartProps xmlns="https://web.wps.cn/et/2018/main" chartId="{7637d8b3-6a95-4b67-badf-59eb5a6cb3eb}"/>
      </c:ext>
    </c:extLst>
  </c:chart>
  <c:spPr>
    <a:solidFill>
      <a:schemeClr val="bg1">
        <a:alpha val="0"/>
      </a:schemeClr>
    </a:solidFill>
    <a:ln w="9525" cap="flat" cmpd="sng" algn="ctr">
      <a:solidFill>
        <a:schemeClr val="tx1">
          <a:lumMod val="15000"/>
          <a:lumOff val="85000"/>
        </a:schemeClr>
      </a:solidFill>
      <a:round/>
    </a:ln>
    <a:effectLst/>
  </c:spPr>
  <c:txPr>
    <a:bodyPr/>
    <a:lstStyle/>
    <a:p>
      <a:pPr>
        <a:defRPr lang="zh-CN" sz="800">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5885731114711"/>
          <c:y val="0.112832505115463"/>
          <c:w val="0.303195405683994"/>
          <c:h val="0.601870798012277"/>
        </c:manualLayout>
      </c:layout>
      <c:doughnut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43572375202474"/>
                  <c:y val="0.0876936568254896"/>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800">
                        <a:latin typeface="黑体" panose="02010609060101010101" charset="-122"/>
                        <a:ea typeface="黑体" panose="02010609060101010101" charset="-122"/>
                        <a:cs typeface="黑体" panose="02010609060101010101" charset="-122"/>
                        <a:sym typeface="黑体" panose="02010609060101010101" charset="-122"/>
                      </a:rPr>
                      <a:t>非常满意</a:t>
                    </a:r>
                    <a:r>
                      <a:rPr lang="en-US" altLang="zh-CN" sz="800">
                        <a:latin typeface="黑体" panose="02010609060101010101" charset="-122"/>
                        <a:ea typeface="黑体" panose="02010609060101010101" charset="-122"/>
                        <a:cs typeface="黑体" panose="02010609060101010101" charset="-122"/>
                        <a:sym typeface="黑体" panose="02010609060101010101" charset="-122"/>
                      </a:rPr>
                      <a:t> </a:t>
                    </a:r>
                    <a:r>
                      <a:rPr sz="800">
                        <a:latin typeface="黑体" panose="02010609060101010101" charset="-122"/>
                        <a:ea typeface="黑体" panose="02010609060101010101" charset="-122"/>
                        <a:cs typeface="黑体" panose="02010609060101010101" charset="-122"/>
                        <a:sym typeface="黑体" panose="02010609060101010101" charset="-122"/>
                      </a:rPr>
                      <a:t>86.27%</a:t>
                    </a:r>
                    <a:endParaRPr sz="800">
                      <a:latin typeface="黑体" panose="02010609060101010101" charset="-122"/>
                      <a:ea typeface="黑体" panose="02010609060101010101" charset="-122"/>
                      <a:cs typeface="黑体" panose="02010609060101010101" charset="-122"/>
                      <a:sym typeface="黑体" panose="02010609060101010101" charset="-122"/>
                    </a:endParaRPr>
                  </a:p>
                </c:rich>
              </c:tx>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52407598291857"/>
                  <c:y val="0.00438468284127448"/>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52407598291857"/>
                  <c:y val="-0.0394621455714703"/>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06022677072596"/>
                  <c:y val="-0.114001753873137"/>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[301000702_按文本_杭锦旗人民检察院工作满意调查问卷.xlsx]Sheet3!$A$65:$A$68</c:f>
              <c:strCache>
                <c:ptCount val="4"/>
                <c:pt idx="0">
                  <c:v>非常满意</c:v>
                </c:pt>
                <c:pt idx="1">
                  <c:v>满意</c:v>
                </c:pt>
                <c:pt idx="2">
                  <c:v>一般</c:v>
                </c:pt>
                <c:pt idx="3">
                  <c:v>不满意</c:v>
                </c:pt>
              </c:strCache>
            </c:strRef>
          </c:cat>
          <c:val>
            <c:numRef>
              <c:f>[301000702_按文本_杭锦旗人民检察院工作满意调查问卷.xlsx]Sheet3!$B$65:$B$68</c:f>
              <c:numCache>
                <c:formatCode>0.00%</c:formatCode>
                <c:ptCount val="4"/>
                <c:pt idx="0">
                  <c:v>0.8627</c:v>
                </c:pt>
                <c:pt idx="1">
                  <c:v>0.1176</c:v>
                </c:pt>
                <c:pt idx="2">
                  <c:v>0.0197</c:v>
                </c:pt>
                <c:pt idx="3">
                  <c:v>0</c:v>
                </c:pt>
              </c:numCache>
            </c:numRef>
          </c:val>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t"/>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310874696773594"/>
          <c:y val="0.828812118632571"/>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gap"/>
    <c:showDLblsOverMax val="0"/>
    <c:extLst>
      <c:ext uri="{0b15fc19-7d7d-44ad-8c2d-2c3a37ce22c3}">
        <chartProps xmlns="https://web.wps.cn/et/2018/main" chartId="{7215c5e0-582d-4652-8bd3-8aeda318656b}"/>
      </c:ext>
    </c:extLst>
  </c:chart>
  <c:spPr>
    <a:solidFill>
      <a:schemeClr val="bg1">
        <a:alpha val="0"/>
      </a:schemeClr>
    </a:solidFill>
    <a:ln w="9525" cap="flat" cmpd="sng" algn="ctr">
      <a:solidFill>
        <a:schemeClr val="tx1">
          <a:lumMod val="15000"/>
          <a:lumOff val="85000"/>
        </a:schemeClr>
      </a:solidFill>
      <a:round/>
    </a:ln>
    <a:effectLst/>
  </c:spPr>
  <c:txPr>
    <a:bodyPr/>
    <a:lstStyle/>
    <a:p>
      <a:pPr>
        <a:defRPr lang="zh-CN" sz="800">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2582307472087"/>
          <c:y val="0.0840879689521347"/>
          <c:w val="0.279559118236473"/>
          <c:h val="0.63163001293661"/>
        </c:manualLayout>
      </c:layout>
      <c:doughnut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56742055539651"/>
                  <c:y val="0.101875808538163"/>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800">
                        <a:latin typeface="黑体" panose="02010609060101010101" charset="-122"/>
                        <a:ea typeface="黑体" panose="02010609060101010101" charset="-122"/>
                        <a:cs typeface="黑体" panose="02010609060101010101" charset="-122"/>
                        <a:sym typeface="黑体" panose="02010609060101010101" charset="-122"/>
                      </a:rPr>
                      <a:t>非常满意 88.24%</a:t>
                    </a:r>
                    <a:endParaRPr sz="800">
                      <a:latin typeface="黑体" panose="02010609060101010101" charset="-122"/>
                      <a:ea typeface="黑体" panose="02010609060101010101" charset="-122"/>
                      <a:cs typeface="黑体" panose="02010609060101010101" charset="-122"/>
                      <a:sym typeface="黑体" panose="02010609060101010101" charset="-122"/>
                    </a:endParaRPr>
                  </a:p>
                </c:rich>
              </c:tx>
              <c:showLegendKey val="0"/>
              <c:showVal val="1"/>
              <c:showCatName val="1"/>
              <c:showSerName val="0"/>
              <c:showPercent val="0"/>
              <c:showBubbleSize val="0"/>
              <c:extLst>
                <c:ext xmlns:c15="http://schemas.microsoft.com/office/drawing/2012/chart" uri="{CE6537A1-D6FC-4f65-9D91-7224C49458BB}">
                  <c15:layout>
                    <c:manualLayout>
                      <c:w val="0.267105639851131"/>
                      <c:h val="0.121280724450194"/>
                    </c:manualLayout>
                  </c15:layout>
                </c:ext>
              </c:extLst>
            </c:dLbl>
            <c:dLbl>
              <c:idx val="1"/>
              <c:layout>
                <c:manualLayout>
                  <c:x val="-0.182507872888634"/>
                  <c:y val="0.0630659767141009"/>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78213569997137"/>
                  <c:y val="-0.00485122897800776"/>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50300601202405"/>
                  <c:y val="-0.082470892626132"/>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[301000702_按文本_杭锦旗人民检察院工作满意调查问卷.xlsx]Sheet3!$A$77:$A$80</c:f>
              <c:strCache>
                <c:ptCount val="4"/>
                <c:pt idx="0">
                  <c:v>非常满意</c:v>
                </c:pt>
                <c:pt idx="1">
                  <c:v>满意</c:v>
                </c:pt>
                <c:pt idx="2">
                  <c:v>一般</c:v>
                </c:pt>
                <c:pt idx="3">
                  <c:v>不满意</c:v>
                </c:pt>
              </c:strCache>
            </c:strRef>
          </c:cat>
          <c:val>
            <c:numRef>
              <c:f>[301000702_按文本_杭锦旗人民检察院工作满意调查问卷.xlsx]Sheet3!$B$77:$B$80</c:f>
              <c:numCache>
                <c:formatCode>0.00%</c:formatCode>
                <c:ptCount val="4"/>
                <c:pt idx="0">
                  <c:v>0.8824</c:v>
                </c:pt>
                <c:pt idx="1">
                  <c:v>0.098</c:v>
                </c:pt>
                <c:pt idx="2">
                  <c:v>0.0196</c:v>
                </c:pt>
                <c:pt idx="3">
                  <c:v>0</c:v>
                </c:pt>
              </c:numCache>
            </c:numRef>
          </c:val>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t"/>
      <c:layout>
        <c:manualLayout>
          <c:xMode val="edge"/>
          <c:yMode val="edge"/>
          <c:x val="0.308133993551012"/>
          <c:y val="0.8501284677303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a41311f-aab0-4504-a8c7-8033a1bfc090}"/>
      </c:ext>
    </c:extLst>
  </c:chart>
  <c:spPr>
    <a:solidFill>
      <a:schemeClr val="bg1">
        <a:alpha val="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9526315789474"/>
          <c:y val="0.16506064690027"/>
          <c:w val="0.244894736842105"/>
          <c:h val="0.627088948787062"/>
        </c:manualLayout>
      </c:layout>
      <c:doughnut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38157894736842"/>
                  <c:y val="0.0606469002695418"/>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26315789473684"/>
                  <c:y val="-0.0303234501347709"/>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42105263157895"/>
                  <c:y val="-0.0808625336927224"/>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02631578947368"/>
                  <c:y val="-0.161725067385445"/>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[301000702_按文本_杭锦旗人民检察院工作满意调查问卷.xlsx]Sheet3!$A$90:$A$93</c:f>
              <c:strCache>
                <c:ptCount val="4"/>
                <c:pt idx="0">
                  <c:v>非常满意</c:v>
                </c:pt>
                <c:pt idx="1">
                  <c:v>满意</c:v>
                </c:pt>
                <c:pt idx="2">
                  <c:v>一般</c:v>
                </c:pt>
                <c:pt idx="3">
                  <c:v>不满意</c:v>
                </c:pt>
              </c:strCache>
            </c:strRef>
          </c:cat>
          <c:val>
            <c:numRef>
              <c:f>[301000702_按文本_杭锦旗人民检察院工作满意调查问卷.xlsx]Sheet3!$B$90:$B$93</c:f>
              <c:numCache>
                <c:formatCode>0.00%</c:formatCode>
                <c:ptCount val="4"/>
                <c:pt idx="0">
                  <c:v>0.8431</c:v>
                </c:pt>
                <c:pt idx="1">
                  <c:v>0.1569</c:v>
                </c:pt>
                <c:pt idx="2">
                  <c:v>0</c:v>
                </c:pt>
                <c:pt idx="3">
                  <c:v>0</c:v>
                </c:pt>
              </c:numCache>
            </c:numRef>
          </c:val>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t"/>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315855263157895"/>
          <c:y val="0.864754098360656"/>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gap"/>
    <c:showDLblsOverMax val="0"/>
    <c:extLst>
      <c:ext uri="{0b15fc19-7d7d-44ad-8c2d-2c3a37ce22c3}">
        <chartProps xmlns="https://web.wps.cn/et/2018/main" chartId="{270c2e56-3b79-4b3b-a8ae-8b34b7086cfe}"/>
      </c:ext>
    </c:extLst>
  </c:chart>
  <c:spPr>
    <a:solidFill>
      <a:schemeClr val="bg1">
        <a:alpha val="0"/>
      </a:schemeClr>
    </a:solidFill>
    <a:ln w="9525" cap="flat" cmpd="sng" algn="ctr">
      <a:solidFill>
        <a:schemeClr val="tx1">
          <a:lumMod val="15000"/>
          <a:lumOff val="85000"/>
        </a:schemeClr>
      </a:solidFill>
      <a:round/>
    </a:ln>
    <a:effectLst/>
  </c:spPr>
  <c:txPr>
    <a:bodyPr/>
    <a:lstStyle/>
    <a:p>
      <a:pPr>
        <a:defRPr lang="zh-CN" sz="800">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9526315789474"/>
          <c:y val="0.16506064690027"/>
          <c:w val="0.244894736842105"/>
          <c:h val="0.627088948787062"/>
        </c:manualLayout>
      </c:layout>
      <c:doughnut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38157894736842"/>
                  <c:y val="0.0606469002695418"/>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26315789473684"/>
                  <c:y val="-0.0303234501347709"/>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42105263157895"/>
                  <c:y val="-0.0808625336927224"/>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02631578947368"/>
                  <c:y val="-0.161725067385445"/>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[301000702_按文本_杭锦旗人民检察院工作满意调查问卷.xlsx]Sheet3!$A$90:$A$93</c:f>
              <c:strCache>
                <c:ptCount val="4"/>
                <c:pt idx="0">
                  <c:v>非常满意</c:v>
                </c:pt>
                <c:pt idx="1">
                  <c:v>满意</c:v>
                </c:pt>
                <c:pt idx="2">
                  <c:v>一般</c:v>
                </c:pt>
                <c:pt idx="3">
                  <c:v>不满意</c:v>
                </c:pt>
              </c:strCache>
            </c:strRef>
          </c:cat>
          <c:val>
            <c:numRef>
              <c:f>[301000702_按文本_杭锦旗人民检察院工作满意调查问卷.xlsx]Sheet3!$B$90:$B$93</c:f>
              <c:numCache>
                <c:formatCode>0.00%</c:formatCode>
                <c:ptCount val="4"/>
                <c:pt idx="0">
                  <c:v>0.8431</c:v>
                </c:pt>
                <c:pt idx="1">
                  <c:v>0.1569</c:v>
                </c:pt>
                <c:pt idx="2">
                  <c:v>0</c:v>
                </c:pt>
                <c:pt idx="3">
                  <c:v>0</c:v>
                </c:pt>
              </c:numCache>
            </c:numRef>
          </c:val>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t"/>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315855263157895"/>
          <c:y val="0.864754098360656"/>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gap"/>
    <c:showDLblsOverMax val="0"/>
    <c:extLst>
      <c:ext uri="{0b15fc19-7d7d-44ad-8c2d-2c3a37ce22c3}">
        <chartProps xmlns="https://web.wps.cn/et/2018/main" chartId="{39c7ac2d-ce6d-446a-be0f-7b057d0c8dab}"/>
      </c:ext>
    </c:extLst>
  </c:chart>
  <c:spPr>
    <a:solidFill>
      <a:schemeClr val="bg1">
        <a:alpha val="0"/>
      </a:schemeClr>
    </a:solidFill>
    <a:ln w="9525" cap="flat" cmpd="sng" algn="ctr">
      <a:solidFill>
        <a:schemeClr val="tx1">
          <a:lumMod val="15000"/>
          <a:lumOff val="85000"/>
        </a:schemeClr>
      </a:solidFill>
      <a:round/>
    </a:ln>
    <a:effectLst/>
  </c:spPr>
  <c:txPr>
    <a:bodyPr/>
    <a:lstStyle/>
    <a:p>
      <a:pPr>
        <a:defRPr lang="zh-CN" sz="800">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4078947368421"/>
          <c:y val="0.204630788485608"/>
          <c:w val="0.244210526315789"/>
          <c:h val="0.58072590738423"/>
        </c:manualLayout>
      </c:layout>
      <c:doughnut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65789473684211"/>
                  <c:y val="0.0704005006257822"/>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99342105263158"/>
                  <c:y val="-0.0173611111111111"/>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91447368421053"/>
                  <c:y val="-0.0823034000834376"/>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5"/>
                  <c:y val="-0.159722222222222"/>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[301000702_按文本_杭锦旗人民检察院工作满意调查问卷.xlsx]Sheet3!$A$105:$A$108</c:f>
              <c:strCache>
                <c:ptCount val="4"/>
                <c:pt idx="0">
                  <c:v>非常满意</c:v>
                </c:pt>
                <c:pt idx="1">
                  <c:v>满意</c:v>
                </c:pt>
                <c:pt idx="2">
                  <c:v>一般</c:v>
                </c:pt>
                <c:pt idx="3">
                  <c:v>不满意</c:v>
                </c:pt>
              </c:strCache>
            </c:strRef>
          </c:cat>
          <c:val>
            <c:numRef>
              <c:f>[301000702_按文本_杭锦旗人民检察院工作满意调查问卷.xlsx]Sheet3!$B$105:$B$108</c:f>
              <c:numCache>
                <c:formatCode>0.00%</c:formatCode>
                <c:ptCount val="4"/>
                <c:pt idx="0">
                  <c:v>0.8627</c:v>
                </c:pt>
                <c:pt idx="1">
                  <c:v>0.1373</c:v>
                </c:pt>
                <c:pt idx="2">
                  <c:v>0</c:v>
                </c:pt>
                <c:pt idx="3">
                  <c:v>0</c:v>
                </c:pt>
              </c:numCache>
            </c:numRef>
          </c:val>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t"/>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315855263157895"/>
          <c:y val="0.867481921846753"/>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gap"/>
    <c:showDLblsOverMax val="0"/>
    <c:extLst>
      <c:ext uri="{0b15fc19-7d7d-44ad-8c2d-2c3a37ce22c3}">
        <chartProps xmlns="https://web.wps.cn/et/2018/main" chartId="{7fd0de3d-78f2-4d47-b363-54d0d59f2265}"/>
      </c:ext>
    </c:extLst>
  </c:chart>
  <c:spPr>
    <a:solidFill>
      <a:schemeClr val="bg1">
        <a:alpha val="0"/>
      </a:schemeClr>
    </a:solidFill>
    <a:ln w="9525" cap="flat" cmpd="sng" algn="ctr">
      <a:solidFill>
        <a:schemeClr val="tx1">
          <a:lumMod val="15000"/>
          <a:lumOff val="85000"/>
        </a:schemeClr>
      </a:solidFill>
      <a:round/>
    </a:ln>
    <a:effectLst/>
  </c:spPr>
  <c:txPr>
    <a:bodyPr/>
    <a:lstStyle/>
    <a:p>
      <a:pPr>
        <a:defRPr lang="zh-CN" sz="800">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0ED06-9FC8-4E13-A908-D498AB316313}">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43</Pages>
  <Words>656</Words>
  <Characters>696</Characters>
  <Lines>213</Lines>
  <Paragraphs>60</Paragraphs>
  <TotalTime>2</TotalTime>
  <ScaleCrop>false</ScaleCrop>
  <LinksUpToDate>false</LinksUpToDate>
  <CharactersWithSpaces>733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2021-11-25T07:45:00Z</dcterms:created>
  <dc:creator>朱亚南</dc:creator>
  <cp:lastModifiedBy>周欢</cp:lastModifiedBy>
  <cp:lastPrinted>2021-12-16T05:38:00Z</cp:lastPrinted>
  <dcterms:modified xsi:type="dcterms:W3CDTF">2025-06-27T09:42:37Z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4B50ED220C344689976B61D83E7BEAC1_13</vt:lpwstr>
  </property>
  <property fmtid="{D5CDD505-2E9C-101B-9397-08002B2CF9AE}" pid="4" name="KSOTemplateDocerSaveRecord">
    <vt:lpwstr>eyJoZGlkIjoiMmE4OWEzMGJmZWFmODkwMDE3YzkwZGFiYzBkNTc4MjEiLCJ1c2VySWQiOiIyOTE3NTkzNjcifQ==</vt:lpwstr>
  </property>
</Properties>
</file>