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991C1">
      <w:pPr>
        <w:pStyle w:val="2"/>
        <w:spacing w:line="255" w:lineRule="auto"/>
      </w:pPr>
    </w:p>
    <w:p w14:paraId="01AC0F93">
      <w:pPr>
        <w:pStyle w:val="2"/>
        <w:spacing w:line="255" w:lineRule="auto"/>
      </w:pPr>
    </w:p>
    <w:p w14:paraId="79F087D6">
      <w:pPr>
        <w:pStyle w:val="2"/>
        <w:spacing w:line="256" w:lineRule="auto"/>
      </w:pPr>
    </w:p>
    <w:p w14:paraId="748B61C7">
      <w:pPr>
        <w:pStyle w:val="2"/>
        <w:spacing w:line="256" w:lineRule="auto"/>
      </w:pPr>
    </w:p>
    <w:p w14:paraId="34202CD6">
      <w:pPr>
        <w:pStyle w:val="2"/>
        <w:spacing w:line="256" w:lineRule="auto"/>
      </w:pPr>
    </w:p>
    <w:p w14:paraId="2C7B5E06">
      <w:pPr>
        <w:pStyle w:val="2"/>
        <w:spacing w:line="256" w:lineRule="auto"/>
      </w:pPr>
    </w:p>
    <w:p w14:paraId="41D2999C">
      <w:pPr>
        <w:pStyle w:val="2"/>
        <w:spacing w:line="256" w:lineRule="auto"/>
      </w:pPr>
    </w:p>
    <w:p w14:paraId="0E9A67A4">
      <w:pPr>
        <w:pStyle w:val="2"/>
        <w:spacing w:line="256" w:lineRule="auto"/>
      </w:pPr>
    </w:p>
    <w:p w14:paraId="5DBF74CD">
      <w:pPr>
        <w:pStyle w:val="2"/>
        <w:spacing w:line="256" w:lineRule="auto"/>
      </w:pPr>
    </w:p>
    <w:p w14:paraId="4ABB1804">
      <w:pPr>
        <w:pStyle w:val="2"/>
        <w:spacing w:line="256" w:lineRule="auto"/>
      </w:pPr>
    </w:p>
    <w:p w14:paraId="2CCBFA8A">
      <w:pPr>
        <w:spacing w:before="169" w:line="220" w:lineRule="auto"/>
        <w:ind w:left="1051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2024</w:t>
      </w:r>
      <w:r>
        <w:rPr>
          <w:rFonts w:ascii="宋体" w:hAnsi="宋体" w:eastAsia="宋体" w:cs="宋体"/>
          <w:spacing w:val="-107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年度杭锦旗人民检察院</w:t>
      </w:r>
    </w:p>
    <w:p w14:paraId="1EE7DC0B">
      <w:pPr>
        <w:spacing w:before="317" w:line="218" w:lineRule="auto"/>
        <w:ind w:left="3216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13"/>
          <w:sz w:val="52"/>
          <w:szCs w:val="52"/>
        </w:rPr>
        <w:t>公开报告</w:t>
      </w:r>
    </w:p>
    <w:p w14:paraId="04A3E87F">
      <w:pPr>
        <w:pStyle w:val="2"/>
      </w:pPr>
    </w:p>
    <w:p w14:paraId="761F7FB0">
      <w:pPr>
        <w:pStyle w:val="2"/>
      </w:pPr>
    </w:p>
    <w:p w14:paraId="22D14102">
      <w:pPr>
        <w:pStyle w:val="2"/>
        <w:spacing w:line="241" w:lineRule="auto"/>
      </w:pPr>
    </w:p>
    <w:p w14:paraId="5AC1ADF9">
      <w:pPr>
        <w:pStyle w:val="2"/>
        <w:spacing w:line="241" w:lineRule="auto"/>
      </w:pPr>
    </w:p>
    <w:p w14:paraId="2BD63AF9">
      <w:pPr>
        <w:pStyle w:val="2"/>
        <w:spacing w:line="241" w:lineRule="auto"/>
      </w:pPr>
    </w:p>
    <w:p w14:paraId="54B8140C">
      <w:pPr>
        <w:pStyle w:val="2"/>
        <w:spacing w:line="241" w:lineRule="auto"/>
      </w:pPr>
    </w:p>
    <w:p w14:paraId="367288A8">
      <w:pPr>
        <w:pStyle w:val="2"/>
        <w:spacing w:line="241" w:lineRule="auto"/>
      </w:pPr>
    </w:p>
    <w:p w14:paraId="44EF6A0C">
      <w:pPr>
        <w:pStyle w:val="2"/>
        <w:spacing w:line="241" w:lineRule="auto"/>
      </w:pPr>
    </w:p>
    <w:p w14:paraId="75F233C6">
      <w:pPr>
        <w:pStyle w:val="2"/>
        <w:spacing w:line="241" w:lineRule="auto"/>
      </w:pPr>
    </w:p>
    <w:p w14:paraId="5DAA4308">
      <w:pPr>
        <w:pStyle w:val="2"/>
        <w:spacing w:line="241" w:lineRule="auto"/>
      </w:pPr>
    </w:p>
    <w:p w14:paraId="6F60FEBB">
      <w:pPr>
        <w:pStyle w:val="2"/>
        <w:spacing w:line="241" w:lineRule="auto"/>
      </w:pPr>
    </w:p>
    <w:p w14:paraId="1F2DE07E">
      <w:pPr>
        <w:pStyle w:val="2"/>
        <w:spacing w:line="241" w:lineRule="auto"/>
      </w:pPr>
    </w:p>
    <w:p w14:paraId="12DAE54A">
      <w:pPr>
        <w:pStyle w:val="2"/>
        <w:spacing w:line="241" w:lineRule="auto"/>
      </w:pPr>
    </w:p>
    <w:p w14:paraId="25E3BFFA">
      <w:pPr>
        <w:pStyle w:val="2"/>
        <w:spacing w:line="241" w:lineRule="auto"/>
      </w:pPr>
    </w:p>
    <w:p w14:paraId="0287EB30">
      <w:pPr>
        <w:pStyle w:val="2"/>
        <w:spacing w:line="241" w:lineRule="auto"/>
      </w:pPr>
    </w:p>
    <w:p w14:paraId="422E1047">
      <w:pPr>
        <w:pStyle w:val="2"/>
        <w:spacing w:line="241" w:lineRule="auto"/>
      </w:pPr>
    </w:p>
    <w:p w14:paraId="72AC9C9A">
      <w:pPr>
        <w:pStyle w:val="2"/>
        <w:spacing w:line="241" w:lineRule="auto"/>
      </w:pPr>
    </w:p>
    <w:p w14:paraId="3E236698">
      <w:pPr>
        <w:pStyle w:val="2"/>
        <w:spacing w:line="241" w:lineRule="auto"/>
      </w:pPr>
    </w:p>
    <w:p w14:paraId="7228C9B2">
      <w:pPr>
        <w:pStyle w:val="2"/>
        <w:spacing w:line="241" w:lineRule="auto"/>
      </w:pPr>
    </w:p>
    <w:p w14:paraId="69AA9351">
      <w:pPr>
        <w:pStyle w:val="2"/>
        <w:spacing w:line="241" w:lineRule="auto"/>
      </w:pPr>
    </w:p>
    <w:p w14:paraId="7D414CBA">
      <w:pPr>
        <w:spacing w:before="100" w:line="225" w:lineRule="auto"/>
        <w:ind w:left="205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部门名称：杭锦旗人民检察院</w:t>
      </w:r>
    </w:p>
    <w:p w14:paraId="687A38CA">
      <w:pPr>
        <w:spacing w:before="247" w:line="224" w:lineRule="auto"/>
        <w:ind w:left="20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单位负责人：淡鹏飞</w:t>
      </w:r>
    </w:p>
    <w:p w14:paraId="22015E8A">
      <w:pPr>
        <w:spacing w:before="247" w:line="225" w:lineRule="auto"/>
        <w:ind w:left="20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财务负责人：包彩霞</w:t>
      </w:r>
    </w:p>
    <w:p w14:paraId="237DDC58">
      <w:pPr>
        <w:spacing w:before="247" w:line="225" w:lineRule="auto"/>
        <w:ind w:left="20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编制人：敖日格乐</w:t>
      </w:r>
    </w:p>
    <w:p w14:paraId="482F3594">
      <w:pPr>
        <w:spacing w:before="246" w:line="225" w:lineRule="auto"/>
        <w:ind w:left="20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报送日期：2025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年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8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月</w:t>
      </w:r>
    </w:p>
    <w:p w14:paraId="25B11E17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6" w:h="16839"/>
          <w:pgMar w:top="1431" w:right="1785" w:bottom="926" w:left="1785" w:header="0" w:footer="691" w:gutter="0"/>
          <w:cols w:space="720" w:num="1"/>
        </w:sectPr>
      </w:pPr>
    </w:p>
    <w:p w14:paraId="710C8DCE">
      <w:pPr>
        <w:pStyle w:val="2"/>
        <w:spacing w:line="286" w:lineRule="auto"/>
      </w:pPr>
    </w:p>
    <w:p w14:paraId="10D82EF9">
      <w:pPr>
        <w:pStyle w:val="2"/>
        <w:spacing w:line="286" w:lineRule="auto"/>
      </w:pPr>
    </w:p>
    <w:p w14:paraId="12F15E0B">
      <w:pPr>
        <w:pStyle w:val="2"/>
        <w:spacing w:line="286" w:lineRule="auto"/>
      </w:pPr>
    </w:p>
    <w:p w14:paraId="2F8B069B">
      <w:pPr>
        <w:spacing w:before="172" w:line="225" w:lineRule="auto"/>
        <w:ind w:left="3878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b/>
          <w:bCs/>
          <w:spacing w:val="-52"/>
          <w:sz w:val="53"/>
          <w:szCs w:val="53"/>
        </w:rPr>
        <w:t>目</w:t>
      </w:r>
      <w:r>
        <w:rPr>
          <w:rFonts w:ascii="宋体" w:hAnsi="宋体" w:eastAsia="宋体" w:cs="宋体"/>
          <w:spacing w:val="-52"/>
          <w:sz w:val="53"/>
          <w:szCs w:val="53"/>
        </w:rPr>
        <w:t xml:space="preserve"> </w:t>
      </w:r>
      <w:r>
        <w:rPr>
          <w:rFonts w:ascii="宋体" w:hAnsi="宋体" w:eastAsia="宋体" w:cs="宋体"/>
          <w:b/>
          <w:bCs/>
          <w:spacing w:val="-52"/>
          <w:sz w:val="53"/>
          <w:szCs w:val="53"/>
        </w:rPr>
        <w:t>录</w:t>
      </w:r>
    </w:p>
    <w:p w14:paraId="440D6A84">
      <w:pPr>
        <w:pStyle w:val="2"/>
        <w:spacing w:line="291" w:lineRule="auto"/>
      </w:pPr>
    </w:p>
    <w:p w14:paraId="28761FF7">
      <w:pPr>
        <w:pStyle w:val="2"/>
        <w:spacing w:line="291" w:lineRule="auto"/>
      </w:pPr>
    </w:p>
    <w:p w14:paraId="01B85B65">
      <w:pPr>
        <w:pStyle w:val="2"/>
        <w:spacing w:line="291" w:lineRule="auto"/>
      </w:pPr>
    </w:p>
    <w:p w14:paraId="498C02F3">
      <w:pPr>
        <w:pStyle w:val="2"/>
        <w:spacing w:line="292" w:lineRule="auto"/>
      </w:pPr>
    </w:p>
    <w:p w14:paraId="132F6F5C">
      <w:pPr>
        <w:spacing w:before="101" w:line="221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第一部分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部门概况</w:t>
      </w:r>
    </w:p>
    <w:sdt>
      <w:sdtPr>
        <w:rPr>
          <w:rFonts w:ascii="楷体" w:hAnsi="楷体" w:eastAsia="楷体" w:cs="楷体"/>
          <w:sz w:val="31"/>
          <w:szCs w:val="31"/>
        </w:rPr>
        <w:id w:val="147469204"/>
        <w:docPartObj>
          <w:docPartGallery w:val="Table of Contents"/>
          <w:docPartUnique/>
        </w:docPartObj>
      </w:sdtPr>
      <w:sdtEndPr>
        <w:rPr>
          <w:rFonts w:ascii="楷体" w:hAnsi="楷体" w:eastAsia="楷体" w:cs="楷体"/>
          <w:sz w:val="31"/>
          <w:szCs w:val="31"/>
        </w:rPr>
      </w:sdtEndPr>
      <w:sdtContent>
        <w:p w14:paraId="30C07231">
          <w:pPr>
            <w:spacing w:before="188" w:line="221" w:lineRule="auto"/>
            <w:ind w:left="635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t>一、主要职能、职责</w:t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fldChar w:fldCharType="end"/>
          </w:r>
        </w:p>
        <w:p w14:paraId="0D3CF76B">
          <w:pPr>
            <w:spacing w:before="188" w:line="221" w:lineRule="auto"/>
            <w:ind w:left="629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楷体" w:hAnsi="楷体" w:eastAsia="楷体" w:cs="楷体"/>
              <w:spacing w:val="9"/>
              <w:sz w:val="31"/>
              <w:szCs w:val="31"/>
            </w:rPr>
            <w:t>二、部门机构设置及决算单位构成情况</w:t>
          </w:r>
          <w:r>
            <w:rPr>
              <w:rFonts w:ascii="楷体" w:hAnsi="楷体" w:eastAsia="楷体" w:cs="楷体"/>
              <w:spacing w:val="9"/>
              <w:sz w:val="31"/>
              <w:szCs w:val="31"/>
            </w:rPr>
            <w:fldChar w:fldCharType="end"/>
          </w:r>
        </w:p>
        <w:p w14:paraId="5386696E">
          <w:pPr>
            <w:spacing w:before="189" w:line="220" w:lineRule="auto"/>
            <w:ind w:left="633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楷体" w:hAnsi="楷体" w:eastAsia="楷体" w:cs="楷体"/>
              <w:spacing w:val="7"/>
              <w:sz w:val="31"/>
              <w:szCs w:val="31"/>
            </w:rPr>
            <w:t>三、2024</w:t>
          </w:r>
          <w:r>
            <w:rPr>
              <w:rFonts w:ascii="楷体" w:hAnsi="楷体" w:eastAsia="楷体" w:cs="楷体"/>
              <w:spacing w:val="-56"/>
              <w:sz w:val="31"/>
              <w:szCs w:val="31"/>
            </w:rPr>
            <w:t xml:space="preserve"> </w:t>
          </w:r>
          <w:r>
            <w:rPr>
              <w:rFonts w:ascii="楷体" w:hAnsi="楷体" w:eastAsia="楷体" w:cs="楷体"/>
              <w:spacing w:val="7"/>
              <w:sz w:val="31"/>
              <w:szCs w:val="31"/>
            </w:rPr>
            <w:t>年度部门主要工作完成情况</w:t>
          </w:r>
          <w:r>
            <w:rPr>
              <w:rFonts w:ascii="楷体" w:hAnsi="楷体" w:eastAsia="楷体" w:cs="楷体"/>
              <w:spacing w:val="7"/>
              <w:sz w:val="31"/>
              <w:szCs w:val="31"/>
            </w:rPr>
            <w:fldChar w:fldCharType="end"/>
          </w:r>
        </w:p>
        <w:p w14:paraId="50E5302A">
          <w:pPr>
            <w:spacing w:before="190" w:line="221" w:lineRule="auto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楷体" w:hAnsi="楷体" w:eastAsia="楷体" w:cs="楷体"/>
              <w:b/>
              <w:bCs/>
              <w:spacing w:val="5"/>
              <w:sz w:val="31"/>
              <w:szCs w:val="31"/>
            </w:rPr>
            <w:t>第二部分</w:t>
          </w:r>
          <w:r>
            <w:rPr>
              <w:rFonts w:ascii="楷体" w:hAnsi="楷体" w:eastAsia="楷体" w:cs="楷体"/>
              <w:spacing w:val="5"/>
              <w:sz w:val="31"/>
              <w:szCs w:val="31"/>
            </w:rPr>
            <w:t xml:space="preserve"> </w:t>
          </w:r>
          <w:r>
            <w:rPr>
              <w:rFonts w:ascii="楷体" w:hAnsi="楷体" w:eastAsia="楷体" w:cs="楷体"/>
              <w:b/>
              <w:bCs/>
              <w:spacing w:val="5"/>
              <w:sz w:val="31"/>
              <w:szCs w:val="31"/>
            </w:rPr>
            <w:t>部门决算情况说明</w:t>
          </w:r>
          <w:r>
            <w:rPr>
              <w:rFonts w:ascii="楷体" w:hAnsi="楷体" w:eastAsia="楷体" w:cs="楷体"/>
              <w:b/>
              <w:bCs/>
              <w:spacing w:val="5"/>
              <w:sz w:val="31"/>
              <w:szCs w:val="31"/>
            </w:rPr>
            <w:fldChar w:fldCharType="end"/>
          </w:r>
        </w:p>
        <w:p w14:paraId="1A3FF59A">
          <w:pPr>
            <w:spacing w:before="188" w:line="223" w:lineRule="auto"/>
            <w:ind w:left="635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t>一、收入支出决算总体情况说明</w:t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fldChar w:fldCharType="end"/>
          </w:r>
        </w:p>
        <w:p w14:paraId="37F76BD8">
          <w:pPr>
            <w:spacing w:before="188" w:line="223" w:lineRule="auto"/>
            <w:ind w:left="629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t>二、收入决算情况说明</w:t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fldChar w:fldCharType="end"/>
          </w:r>
        </w:p>
        <w:p w14:paraId="3FFB9B93">
          <w:pPr>
            <w:spacing w:before="184" w:line="223" w:lineRule="auto"/>
            <w:ind w:left="633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t>三、支出决算情况说明</w:t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fldChar w:fldCharType="end"/>
          </w:r>
        </w:p>
        <w:p w14:paraId="081BA086">
          <w:pPr>
            <w:spacing w:before="185" w:line="223" w:lineRule="auto"/>
            <w:ind w:left="645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t>四、财政拨款收入支出决算总体情况说明</w:t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fldChar w:fldCharType="end"/>
          </w:r>
        </w:p>
        <w:p w14:paraId="2016D156">
          <w:pPr>
            <w:spacing w:before="187" w:line="223" w:lineRule="auto"/>
            <w:ind w:left="626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楷体" w:hAnsi="楷体" w:eastAsia="楷体" w:cs="楷体"/>
              <w:spacing w:val="9"/>
              <w:sz w:val="31"/>
              <w:szCs w:val="31"/>
            </w:rPr>
            <w:t>五、一般公共预算财政拨款支出决算情况说明</w:t>
          </w:r>
          <w:r>
            <w:rPr>
              <w:rFonts w:ascii="楷体" w:hAnsi="楷体" w:eastAsia="楷体" w:cs="楷体"/>
              <w:spacing w:val="9"/>
              <w:sz w:val="31"/>
              <w:szCs w:val="31"/>
            </w:rPr>
            <w:fldChar w:fldCharType="end"/>
          </w:r>
        </w:p>
        <w:p w14:paraId="075DFD69">
          <w:pPr>
            <w:spacing w:before="184" w:line="222" w:lineRule="auto"/>
            <w:ind w:left="643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t>六、一般公共预算财政拨款基本支出决算情况说明</w:t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fldChar w:fldCharType="end"/>
          </w:r>
        </w:p>
        <w:p w14:paraId="2BB5FB23">
          <w:pPr>
            <w:spacing w:before="187" w:line="223" w:lineRule="auto"/>
            <w:ind w:left="629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楷体" w:hAnsi="楷体" w:eastAsia="楷体" w:cs="楷体"/>
              <w:spacing w:val="9"/>
              <w:sz w:val="31"/>
              <w:szCs w:val="31"/>
            </w:rPr>
            <w:t>七、一般公共预算财政拨款项目支出决算情况说明</w:t>
          </w:r>
          <w:r>
            <w:rPr>
              <w:rFonts w:ascii="楷体" w:hAnsi="楷体" w:eastAsia="楷体" w:cs="楷体"/>
              <w:spacing w:val="9"/>
              <w:sz w:val="31"/>
              <w:szCs w:val="31"/>
            </w:rPr>
            <w:fldChar w:fldCharType="end"/>
          </w:r>
        </w:p>
        <w:p w14:paraId="1339BBDD">
          <w:pPr>
            <w:spacing w:before="187" w:line="222" w:lineRule="auto"/>
            <w:ind w:left="628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楷体" w:hAnsi="楷体" w:eastAsia="楷体" w:cs="楷体"/>
              <w:spacing w:val="6"/>
              <w:sz w:val="31"/>
              <w:szCs w:val="31"/>
            </w:rPr>
            <w:t>八、财政拨款</w:t>
          </w:r>
          <w:r>
            <w:rPr>
              <w:rFonts w:ascii="楷体" w:hAnsi="楷体" w:eastAsia="楷体" w:cs="楷体"/>
              <w:spacing w:val="-87"/>
              <w:sz w:val="31"/>
              <w:szCs w:val="31"/>
            </w:rPr>
            <w:t xml:space="preserve"> </w:t>
          </w:r>
          <w:r>
            <w:rPr>
              <w:rFonts w:ascii="楷体" w:hAnsi="楷体" w:eastAsia="楷体" w:cs="楷体"/>
              <w:spacing w:val="6"/>
              <w:sz w:val="31"/>
              <w:szCs w:val="31"/>
            </w:rPr>
            <w:t>“三公”经费支出决算情况说明</w:t>
          </w:r>
          <w:r>
            <w:rPr>
              <w:rFonts w:ascii="楷体" w:hAnsi="楷体" w:eastAsia="楷体" w:cs="楷体"/>
              <w:spacing w:val="6"/>
              <w:sz w:val="31"/>
              <w:szCs w:val="31"/>
            </w:rPr>
            <w:fldChar w:fldCharType="end"/>
          </w:r>
        </w:p>
        <w:p w14:paraId="1E65EDE7">
          <w:pPr>
            <w:spacing w:before="187" w:line="223" w:lineRule="auto"/>
            <w:ind w:left="633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楷体" w:hAnsi="楷体" w:eastAsia="楷体" w:cs="楷体"/>
              <w:spacing w:val="9"/>
              <w:sz w:val="31"/>
              <w:szCs w:val="31"/>
            </w:rPr>
            <w:t>九、政府性基金预算财政拨款支出决算情况说明</w:t>
          </w:r>
          <w:r>
            <w:rPr>
              <w:rFonts w:ascii="楷体" w:hAnsi="楷体" w:eastAsia="楷体" w:cs="楷体"/>
              <w:spacing w:val="9"/>
              <w:sz w:val="31"/>
              <w:szCs w:val="31"/>
            </w:rPr>
            <w:fldChar w:fldCharType="end"/>
          </w:r>
        </w:p>
        <w:p w14:paraId="6F4E3733">
          <w:pPr>
            <w:spacing w:before="184" w:line="222" w:lineRule="auto"/>
            <w:ind w:left="634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楷体" w:hAnsi="楷体" w:eastAsia="楷体" w:cs="楷体"/>
              <w:spacing w:val="6"/>
              <w:sz w:val="31"/>
              <w:szCs w:val="31"/>
            </w:rPr>
            <w:t>十、</w:t>
          </w:r>
          <w:r>
            <w:rPr>
              <w:rFonts w:ascii="楷体" w:hAnsi="楷体" w:eastAsia="楷体" w:cs="楷体"/>
              <w:spacing w:val="-85"/>
              <w:sz w:val="31"/>
              <w:szCs w:val="31"/>
            </w:rPr>
            <w:t xml:space="preserve"> </w:t>
          </w:r>
          <w:r>
            <w:rPr>
              <w:rFonts w:ascii="楷体" w:hAnsi="楷体" w:eastAsia="楷体" w:cs="楷体"/>
              <w:spacing w:val="6"/>
              <w:sz w:val="31"/>
              <w:szCs w:val="31"/>
            </w:rPr>
            <w:t>国有资本经营预算财政拨款支出决算情况说明</w:t>
          </w:r>
          <w:r>
            <w:rPr>
              <w:rFonts w:ascii="楷体" w:hAnsi="楷体" w:eastAsia="楷体" w:cs="楷体"/>
              <w:spacing w:val="6"/>
              <w:sz w:val="31"/>
              <w:szCs w:val="31"/>
            </w:rPr>
            <w:fldChar w:fldCharType="end"/>
          </w:r>
        </w:p>
        <w:p w14:paraId="706598E7">
          <w:pPr>
            <w:spacing w:before="189" w:line="222" w:lineRule="auto"/>
            <w:ind w:left="634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楷体" w:hAnsi="楷体" w:eastAsia="楷体" w:cs="楷体"/>
              <w:spacing w:val="9"/>
              <w:sz w:val="31"/>
              <w:szCs w:val="31"/>
            </w:rPr>
            <w:t>十一、机关运行经费（公用经费）支出决算情况说明</w:t>
          </w:r>
          <w:r>
            <w:rPr>
              <w:rFonts w:ascii="楷体" w:hAnsi="楷体" w:eastAsia="楷体" w:cs="楷体"/>
              <w:spacing w:val="9"/>
              <w:sz w:val="31"/>
              <w:szCs w:val="31"/>
            </w:rPr>
            <w:fldChar w:fldCharType="end"/>
          </w:r>
        </w:p>
        <w:p w14:paraId="1F7F527B">
          <w:pPr>
            <w:spacing w:before="187" w:line="223" w:lineRule="auto"/>
            <w:ind w:left="634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t>十二、政府采购支出决算情况说明</w:t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fldChar w:fldCharType="end"/>
          </w:r>
        </w:p>
        <w:p w14:paraId="0261C527">
          <w:pPr>
            <w:spacing w:before="184" w:line="220" w:lineRule="auto"/>
            <w:ind w:left="634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t>十三、国有资产占用情况说明</w:t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fldChar w:fldCharType="end"/>
          </w:r>
        </w:p>
        <w:p w14:paraId="357BCC21">
          <w:pPr>
            <w:spacing w:before="193" w:line="223" w:lineRule="auto"/>
            <w:ind w:left="634"/>
            <w:rPr>
              <w:rFonts w:ascii="楷体" w:hAnsi="楷体" w:eastAsia="楷体" w:cs="楷体"/>
              <w:sz w:val="31"/>
              <w:szCs w:val="31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t>十四、预算绩效情况说明</w:t>
          </w:r>
          <w:r>
            <w:rPr>
              <w:rFonts w:ascii="楷体" w:hAnsi="楷体" w:eastAsia="楷体" w:cs="楷体"/>
              <w:spacing w:val="8"/>
              <w:sz w:val="31"/>
              <w:szCs w:val="31"/>
            </w:rPr>
            <w:fldChar w:fldCharType="end"/>
          </w:r>
        </w:p>
      </w:sdtContent>
    </w:sdt>
    <w:p w14:paraId="7E5FA2BA">
      <w:pPr>
        <w:spacing w:line="223" w:lineRule="auto"/>
        <w:rPr>
          <w:rFonts w:ascii="楷体" w:hAnsi="楷体" w:eastAsia="楷体" w:cs="楷体"/>
          <w:sz w:val="31"/>
          <w:szCs w:val="31"/>
        </w:rPr>
        <w:sectPr>
          <w:footerReference r:id="rId6" w:type="default"/>
          <w:pgSz w:w="11906" w:h="16839"/>
          <w:pgMar w:top="1431" w:right="1785" w:bottom="1091" w:left="1607" w:header="0" w:footer="929" w:gutter="0"/>
          <w:cols w:space="720" w:num="1"/>
        </w:sectPr>
      </w:pPr>
    </w:p>
    <w:p w14:paraId="25E49DF8">
      <w:pPr>
        <w:pStyle w:val="2"/>
        <w:spacing w:line="246" w:lineRule="auto"/>
      </w:pPr>
    </w:p>
    <w:p w14:paraId="4809EB60">
      <w:pPr>
        <w:pStyle w:val="2"/>
        <w:spacing w:line="246" w:lineRule="auto"/>
      </w:pPr>
    </w:p>
    <w:p w14:paraId="20E96B62">
      <w:pPr>
        <w:pStyle w:val="2"/>
        <w:spacing w:line="246" w:lineRule="auto"/>
      </w:pPr>
    </w:p>
    <w:p w14:paraId="038AC151">
      <w:pPr>
        <w:spacing w:before="100" w:line="221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第三部分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名词解释</w:t>
      </w:r>
    </w:p>
    <w:p w14:paraId="21230A93">
      <w:pPr>
        <w:spacing w:before="187" w:line="220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第四部分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决算公开联系方式及信息反馈渠道</w:t>
      </w:r>
    </w:p>
    <w:p w14:paraId="4033B62E">
      <w:pPr>
        <w:spacing w:before="190" w:line="221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第五部分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部门决算表</w:t>
      </w:r>
    </w:p>
    <w:p w14:paraId="033474AB">
      <w:pPr>
        <w:spacing w:before="189" w:line="225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一、收入支出决算总表</w:t>
      </w:r>
    </w:p>
    <w:p w14:paraId="6289538A">
      <w:pPr>
        <w:spacing w:before="182" w:line="225" w:lineRule="auto"/>
        <w:ind w:left="6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二、收入决算表</w:t>
      </w:r>
    </w:p>
    <w:p w14:paraId="33C666AB">
      <w:pPr>
        <w:spacing w:before="181" w:line="225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三、支出决算表</w:t>
      </w:r>
    </w:p>
    <w:p w14:paraId="32C62DCD">
      <w:pPr>
        <w:spacing w:before="184" w:line="225" w:lineRule="auto"/>
        <w:ind w:left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四、财政拨款收入支出决算总表</w:t>
      </w:r>
    </w:p>
    <w:p w14:paraId="2E087EA3">
      <w:pPr>
        <w:spacing w:before="181" w:line="225" w:lineRule="auto"/>
        <w:ind w:left="6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五、一般公共预算财政拨款支出决算表</w:t>
      </w:r>
    </w:p>
    <w:p w14:paraId="320B509A">
      <w:pPr>
        <w:spacing w:before="182" w:line="222" w:lineRule="auto"/>
        <w:ind w:left="64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六、一般公共预算财政拨款基本支出决算明细表</w:t>
      </w:r>
    </w:p>
    <w:p w14:paraId="4AAE21C4">
      <w:pPr>
        <w:spacing w:before="188" w:line="225" w:lineRule="auto"/>
        <w:ind w:left="6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七、一般公共预算财政拨款项目支出决算明细表</w:t>
      </w:r>
    </w:p>
    <w:p w14:paraId="37CF00ED">
      <w:pPr>
        <w:spacing w:before="182" w:line="225" w:lineRule="auto"/>
        <w:ind w:left="62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八、政府性基金预算财政拨款收入支出决算表</w:t>
      </w:r>
    </w:p>
    <w:p w14:paraId="5D092578">
      <w:pPr>
        <w:spacing w:before="181" w:line="222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九、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国有资本经营预算财政拨款收入支出决算表</w:t>
      </w:r>
    </w:p>
    <w:p w14:paraId="1BC1EEFB">
      <w:pPr>
        <w:spacing w:before="189" w:line="222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十、财政拨款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“三公”经费支出决算表</w:t>
      </w:r>
    </w:p>
    <w:p w14:paraId="41CE9DE0">
      <w:pPr>
        <w:spacing w:before="188" w:line="280" w:lineRule="auto"/>
        <w:ind w:left="31" w:firstLine="60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十一、机关运行经费支出、国有资产占用情况及政</w:t>
      </w:r>
      <w:r>
        <w:rPr>
          <w:rFonts w:ascii="楷体" w:hAnsi="楷体" w:eastAsia="楷体" w:cs="楷体"/>
          <w:spacing w:val="4"/>
          <w:sz w:val="31"/>
          <w:szCs w:val="31"/>
        </w:rPr>
        <w:t>府采购支</w:t>
      </w:r>
      <w:r>
        <w:rPr>
          <w:rFonts w:ascii="楷体" w:hAnsi="楷体" w:eastAsia="楷体" w:cs="楷体"/>
          <w:spacing w:val="-4"/>
          <w:sz w:val="31"/>
          <w:szCs w:val="31"/>
        </w:rPr>
        <w:t>出信息表</w:t>
      </w:r>
    </w:p>
    <w:p w14:paraId="4B2D6D7D">
      <w:pPr>
        <w:spacing w:line="280" w:lineRule="auto"/>
        <w:rPr>
          <w:rFonts w:ascii="楷体" w:hAnsi="楷体" w:eastAsia="楷体" w:cs="楷体"/>
          <w:sz w:val="31"/>
          <w:szCs w:val="31"/>
        </w:rPr>
        <w:sectPr>
          <w:footerReference r:id="rId7" w:type="default"/>
          <w:pgSz w:w="11906" w:h="16839"/>
          <w:pgMar w:top="1431" w:right="1475" w:bottom="1091" w:left="1607" w:header="0" w:footer="929" w:gutter="0"/>
          <w:cols w:space="720" w:num="1"/>
        </w:sectPr>
      </w:pPr>
    </w:p>
    <w:p w14:paraId="1277E6E6">
      <w:pPr>
        <w:pStyle w:val="2"/>
        <w:spacing w:line="246" w:lineRule="auto"/>
      </w:pPr>
    </w:p>
    <w:p w14:paraId="5E944FCE">
      <w:pPr>
        <w:pStyle w:val="2"/>
        <w:spacing w:line="246" w:lineRule="auto"/>
      </w:pPr>
    </w:p>
    <w:p w14:paraId="157A9A74">
      <w:pPr>
        <w:pStyle w:val="2"/>
        <w:spacing w:line="246" w:lineRule="auto"/>
      </w:pPr>
    </w:p>
    <w:p w14:paraId="4D1ACC8A">
      <w:pPr>
        <w:spacing w:before="100" w:line="221" w:lineRule="auto"/>
        <w:ind w:left="30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第一部分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部门概况</w:t>
      </w:r>
    </w:p>
    <w:p w14:paraId="13589EB9">
      <w:pPr>
        <w:spacing w:before="188" w:line="222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一、主要职能、职责</w:t>
      </w:r>
    </w:p>
    <w:p w14:paraId="3D79E143">
      <w:pPr>
        <w:spacing w:before="185" w:line="221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（一）部门职能</w:t>
      </w:r>
    </w:p>
    <w:p w14:paraId="0B2194E4">
      <w:pPr>
        <w:spacing w:before="201" w:line="333" w:lineRule="auto"/>
        <w:ind w:right="70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杭锦旗人民检察院是国家的法律监督机关。对杭锦旗人民代</w:t>
      </w:r>
      <w:r>
        <w:rPr>
          <w:rFonts w:ascii="仿宋" w:hAnsi="仿宋" w:eastAsia="仿宋" w:cs="仿宋"/>
          <w:spacing w:val="5"/>
          <w:sz w:val="31"/>
          <w:szCs w:val="31"/>
        </w:rPr>
        <w:t>表大会及其常务委员会负责并报告工作。其主要职责是：依法向杭锦旗人民代表大会及其常务委员会提出议案，接受杭锦旗人民代表大会及其常务委员会的监督。接受市人民检察院的领导。贯彻执行党的路线、方针、政策，研究部署检察工作任务。依法对对全旗性的重大刑事案件依法审查批准逮捕、提起公诉。依法对刑事诉讼、民事审判和行政诉讼实行法律监督工作。依法对执行机关执行刑罚的活动是否合法实行监督。对旗人民法院已经发生法律效力、确有错误的判决和裁定，依法提起抗诉。受理单位和个人的控告和申诉。负责对检察环节中社会治安综合治理工作的指导。负责检察机关的检验鉴定和复检工作。负责检察机关队伍</w:t>
      </w:r>
      <w:r>
        <w:rPr>
          <w:rFonts w:ascii="仿宋" w:hAnsi="仿宋" w:eastAsia="仿宋" w:cs="仿宋"/>
          <w:spacing w:val="6"/>
          <w:sz w:val="31"/>
          <w:szCs w:val="31"/>
        </w:rPr>
        <w:t>建设和思想政治工作；依法管理检察官及其他检察人员的工作；</w:t>
      </w:r>
      <w:r>
        <w:rPr>
          <w:rFonts w:ascii="仿宋" w:hAnsi="仿宋" w:eastAsia="仿宋" w:cs="仿宋"/>
          <w:spacing w:val="5"/>
          <w:sz w:val="31"/>
          <w:szCs w:val="31"/>
        </w:rPr>
        <w:t>规划和管理检察机关的财务装备工作。负责其他应当由杭锦旗人</w:t>
      </w:r>
      <w:r>
        <w:rPr>
          <w:rFonts w:ascii="仿宋" w:hAnsi="仿宋" w:eastAsia="仿宋" w:cs="仿宋"/>
          <w:spacing w:val="7"/>
          <w:sz w:val="31"/>
          <w:szCs w:val="31"/>
        </w:rPr>
        <w:t>民检察院承办的事项。</w:t>
      </w:r>
    </w:p>
    <w:p w14:paraId="74B68DA8">
      <w:pPr>
        <w:spacing w:line="221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二）部门主要职责</w:t>
      </w:r>
    </w:p>
    <w:p w14:paraId="5B643C67">
      <w:pPr>
        <w:spacing w:before="190" w:line="222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主要职能部门具体职责是：</w:t>
      </w:r>
    </w:p>
    <w:p w14:paraId="47A134AB">
      <w:pPr>
        <w:spacing w:before="185" w:line="334" w:lineRule="auto"/>
        <w:ind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1.第一检察部。负责刑事案件的审查逮捕、审查起诉、补充</w:t>
      </w:r>
      <w:r>
        <w:rPr>
          <w:rFonts w:ascii="仿宋" w:hAnsi="仿宋" w:eastAsia="仿宋" w:cs="仿宋"/>
          <w:spacing w:val="-2"/>
          <w:sz w:val="31"/>
          <w:szCs w:val="31"/>
        </w:rPr>
        <w:t>侦查、出庭公诉、抗诉、复议、刑事申诉和立案监督、侦查监</w:t>
      </w:r>
      <w:r>
        <w:rPr>
          <w:rFonts w:ascii="仿宋" w:hAnsi="仿宋" w:eastAsia="仿宋" w:cs="仿宋"/>
          <w:spacing w:val="-3"/>
          <w:sz w:val="31"/>
          <w:szCs w:val="31"/>
        </w:rPr>
        <w:t>督、</w:t>
      </w:r>
      <w:r>
        <w:rPr>
          <w:rFonts w:ascii="仿宋" w:hAnsi="仿宋" w:eastAsia="仿宋" w:cs="仿宋"/>
          <w:spacing w:val="8"/>
          <w:sz w:val="31"/>
          <w:szCs w:val="31"/>
        </w:rPr>
        <w:t>审判监督等工作。下设未成年人检察工作组。</w:t>
      </w:r>
    </w:p>
    <w:p w14:paraId="64BDD241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378" w:bottom="1091" w:left="1596" w:header="0" w:footer="929" w:gutter="0"/>
          <w:cols w:space="720" w:num="1"/>
        </w:sectPr>
      </w:pPr>
    </w:p>
    <w:p w14:paraId="3E010234">
      <w:pPr>
        <w:pStyle w:val="2"/>
        <w:spacing w:line="246" w:lineRule="auto"/>
      </w:pPr>
    </w:p>
    <w:p w14:paraId="3161B1AC">
      <w:pPr>
        <w:pStyle w:val="2"/>
        <w:spacing w:line="246" w:lineRule="auto"/>
      </w:pPr>
    </w:p>
    <w:p w14:paraId="45BB9FCF">
      <w:pPr>
        <w:pStyle w:val="2"/>
        <w:spacing w:line="246" w:lineRule="auto"/>
      </w:pPr>
    </w:p>
    <w:p w14:paraId="15D342DD">
      <w:pPr>
        <w:spacing w:before="10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2.第二检察部。负责民事、行政检察工作，公益诉讼工作。</w:t>
      </w:r>
    </w:p>
    <w:p w14:paraId="6CAC07DC">
      <w:pPr>
        <w:spacing w:before="188" w:line="296" w:lineRule="auto"/>
        <w:ind w:left="25" w:right="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3.第三检察部。负责刑事执行检察工作。受理控告、举报、</w:t>
      </w:r>
      <w:r>
        <w:rPr>
          <w:rFonts w:ascii="仿宋" w:hAnsi="仿宋" w:eastAsia="仿宋" w:cs="仿宋"/>
          <w:spacing w:val="4"/>
          <w:sz w:val="31"/>
          <w:szCs w:val="31"/>
        </w:rPr>
        <w:t>申诉，办理国家赔偿案件和国家司法救助案件。负责法律政策研</w:t>
      </w:r>
      <w:r>
        <w:rPr>
          <w:rFonts w:ascii="仿宋" w:hAnsi="仿宋" w:eastAsia="仿宋" w:cs="仿宋"/>
          <w:spacing w:val="-3"/>
          <w:sz w:val="31"/>
          <w:szCs w:val="31"/>
        </w:rPr>
        <w:t>究、检察委员会日常工作等。负责案件管理、人民监督员等工</w:t>
      </w:r>
      <w:r>
        <w:rPr>
          <w:rFonts w:ascii="仿宋" w:hAnsi="仿宋" w:eastAsia="仿宋" w:cs="仿宋"/>
          <w:spacing w:val="-4"/>
          <w:sz w:val="31"/>
          <w:szCs w:val="31"/>
        </w:rPr>
        <w:t>作。</w:t>
      </w:r>
    </w:p>
    <w:p w14:paraId="3F109E56">
      <w:pPr>
        <w:spacing w:before="193" w:line="319" w:lineRule="auto"/>
        <w:ind w:left="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4.政治部。负责思想政治工作和组织人事工作。负责机关党</w:t>
      </w:r>
      <w:r>
        <w:rPr>
          <w:rFonts w:ascii="仿宋" w:hAnsi="仿宋" w:eastAsia="仿宋" w:cs="仿宋"/>
          <w:spacing w:val="-2"/>
          <w:sz w:val="31"/>
          <w:szCs w:val="31"/>
        </w:rPr>
        <w:t>建和群团工作，负责队伍建设、思想建设、文化建设、教育培</w:t>
      </w:r>
      <w:r>
        <w:rPr>
          <w:rFonts w:ascii="仿宋" w:hAnsi="仿宋" w:eastAsia="仿宋" w:cs="仿宋"/>
          <w:spacing w:val="-3"/>
          <w:sz w:val="31"/>
          <w:szCs w:val="31"/>
        </w:rPr>
        <w:t>训、</w:t>
      </w:r>
      <w:r>
        <w:rPr>
          <w:rFonts w:ascii="仿宋" w:hAnsi="仿宋" w:eastAsia="仿宋" w:cs="仿宋"/>
          <w:spacing w:val="9"/>
          <w:sz w:val="31"/>
          <w:szCs w:val="31"/>
        </w:rPr>
        <w:t>离退休干部工作。负责检务督察工作。配合开展纪检监察工</w:t>
      </w:r>
      <w:r>
        <w:rPr>
          <w:rFonts w:ascii="仿宋" w:hAnsi="仿宋" w:eastAsia="仿宋" w:cs="仿宋"/>
          <w:spacing w:val="8"/>
          <w:sz w:val="31"/>
          <w:szCs w:val="31"/>
        </w:rPr>
        <w:t>作。</w:t>
      </w:r>
      <w:r>
        <w:rPr>
          <w:rFonts w:ascii="仿宋" w:hAnsi="仿宋" w:eastAsia="仿宋" w:cs="仿宋"/>
          <w:spacing w:val="5"/>
          <w:sz w:val="31"/>
          <w:szCs w:val="31"/>
        </w:rPr>
        <w:t>负责机关文电、会务、机要、档案、保密等工作。协助院领导处</w:t>
      </w:r>
      <w:r>
        <w:rPr>
          <w:rFonts w:ascii="仿宋" w:hAnsi="仿宋" w:eastAsia="仿宋" w:cs="仿宋"/>
          <w:spacing w:val="9"/>
          <w:sz w:val="31"/>
          <w:szCs w:val="31"/>
        </w:rPr>
        <w:t>理检察政务，组织协调院重要工作部署、重大决策的贯彻实</w:t>
      </w:r>
      <w:r>
        <w:rPr>
          <w:rFonts w:ascii="仿宋" w:hAnsi="仿宋" w:eastAsia="仿宋" w:cs="仿宋"/>
          <w:spacing w:val="8"/>
          <w:sz w:val="31"/>
          <w:szCs w:val="31"/>
        </w:rPr>
        <w:t>施。</w:t>
      </w:r>
      <w:r>
        <w:rPr>
          <w:rFonts w:ascii="仿宋" w:hAnsi="仿宋" w:eastAsia="仿宋" w:cs="仿宋"/>
          <w:spacing w:val="5"/>
          <w:sz w:val="31"/>
          <w:szCs w:val="31"/>
        </w:rPr>
        <w:t>起草审核相关文件文稿，处理检察信息，编发内部刊物。负责人大代表联络工作和特约检察员联系工作。负责领导同志批办事项</w:t>
      </w:r>
      <w:r>
        <w:rPr>
          <w:rFonts w:ascii="仿宋" w:hAnsi="仿宋" w:eastAsia="仿宋" w:cs="仿宋"/>
          <w:spacing w:val="9"/>
          <w:sz w:val="31"/>
          <w:szCs w:val="31"/>
        </w:rPr>
        <w:t>督查工作。负责协调管理新闻宣传工作。负责翻译工作。</w:t>
      </w:r>
    </w:p>
    <w:p w14:paraId="177B8162">
      <w:pPr>
        <w:spacing w:before="193" w:line="295" w:lineRule="auto"/>
        <w:ind w:left="1" w:right="97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5.办公室。负责国有资产、物资装备管理、后勤保障、政府</w:t>
      </w:r>
      <w:r>
        <w:rPr>
          <w:rFonts w:ascii="仿宋" w:hAnsi="仿宋" w:eastAsia="仿宋" w:cs="仿宋"/>
          <w:spacing w:val="5"/>
          <w:sz w:val="31"/>
          <w:szCs w:val="31"/>
        </w:rPr>
        <w:t>采购和计划财务等工作。负责信息化建设和信息安全工作。负责</w:t>
      </w:r>
      <w:r>
        <w:rPr>
          <w:rFonts w:ascii="仿宋" w:hAnsi="仿宋" w:eastAsia="仿宋" w:cs="仿宋"/>
          <w:spacing w:val="7"/>
          <w:sz w:val="31"/>
          <w:szCs w:val="31"/>
        </w:rPr>
        <w:t>检察技术等工作。</w:t>
      </w:r>
    </w:p>
    <w:p w14:paraId="19D6315B">
      <w:pPr>
        <w:spacing w:before="189" w:line="279" w:lineRule="auto"/>
        <w:ind w:left="11" w:right="9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6.司法警察大队。负责办案场所警戒、人员押解和看管等警</w:t>
      </w:r>
      <w:r>
        <w:rPr>
          <w:rFonts w:ascii="仿宋" w:hAnsi="仿宋" w:eastAsia="仿宋" w:cs="仿宋"/>
          <w:spacing w:val="2"/>
          <w:sz w:val="31"/>
          <w:szCs w:val="31"/>
        </w:rPr>
        <w:t>务事项。</w:t>
      </w:r>
    </w:p>
    <w:p w14:paraId="6B9D2E64">
      <w:pPr>
        <w:spacing w:before="184" w:line="223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二、部门机构设置及决算单位构成情况</w:t>
      </w:r>
    </w:p>
    <w:p w14:paraId="6430E63A">
      <w:pPr>
        <w:spacing w:before="186" w:line="333" w:lineRule="auto"/>
        <w:ind w:right="51"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1.根据部门职责分工，我院内设机构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6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个，下设二级事业单位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个（检务服务中心</w:t>
      </w:r>
      <w:r>
        <w:rPr>
          <w:rFonts w:ascii="仿宋" w:hAnsi="仿宋" w:eastAsia="仿宋" w:cs="仿宋"/>
          <w:spacing w:val="24"/>
          <w:sz w:val="31"/>
          <w:szCs w:val="31"/>
        </w:rPr>
        <w:t>），</w:t>
      </w:r>
      <w:r>
        <w:rPr>
          <w:rFonts w:ascii="仿宋" w:hAnsi="仿宋" w:eastAsia="仿宋" w:cs="仿宋"/>
          <w:spacing w:val="2"/>
          <w:sz w:val="31"/>
          <w:szCs w:val="31"/>
        </w:rPr>
        <w:t>内设机构包括办公室、政治部、第一</w:t>
      </w:r>
      <w:r>
        <w:rPr>
          <w:rFonts w:ascii="仿宋" w:hAnsi="仿宋" w:eastAsia="仿宋" w:cs="仿宋"/>
          <w:spacing w:val="7"/>
          <w:sz w:val="31"/>
          <w:szCs w:val="31"/>
        </w:rPr>
        <w:t>检察部、第二检察部、第三检察部、法警队。我院无下属单位。</w:t>
      </w:r>
    </w:p>
    <w:p w14:paraId="003CCC30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378" w:bottom="1089" w:left="1593" w:header="0" w:footer="929" w:gutter="0"/>
          <w:cols w:space="720" w:num="1"/>
        </w:sectPr>
      </w:pPr>
    </w:p>
    <w:p w14:paraId="45714954">
      <w:pPr>
        <w:pStyle w:val="2"/>
        <w:spacing w:line="246" w:lineRule="auto"/>
      </w:pPr>
    </w:p>
    <w:p w14:paraId="63CA0385">
      <w:pPr>
        <w:pStyle w:val="2"/>
        <w:spacing w:line="246" w:lineRule="auto"/>
      </w:pPr>
    </w:p>
    <w:p w14:paraId="1433949C">
      <w:pPr>
        <w:pStyle w:val="2"/>
        <w:spacing w:line="247" w:lineRule="auto"/>
      </w:pPr>
    </w:p>
    <w:p w14:paraId="012FEC4A">
      <w:pPr>
        <w:spacing w:before="100" w:line="333" w:lineRule="auto"/>
        <w:ind w:left="2" w:right="111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2.从决算单位构成看，纳入本部门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2024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年部门汇总决算编</w:t>
      </w:r>
      <w:r>
        <w:rPr>
          <w:rFonts w:ascii="仿宋" w:hAnsi="仿宋" w:eastAsia="仿宋" w:cs="仿宋"/>
          <w:spacing w:val="3"/>
          <w:sz w:val="31"/>
          <w:szCs w:val="31"/>
        </w:rPr>
        <w:t>制范围的预算单位共计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家，具体包括：杭锦旗人民检察院部门</w:t>
      </w:r>
      <w:r>
        <w:rPr>
          <w:rFonts w:ascii="仿宋" w:hAnsi="仿宋" w:eastAsia="仿宋" w:cs="仿宋"/>
          <w:spacing w:val="7"/>
          <w:sz w:val="31"/>
          <w:szCs w:val="31"/>
        </w:rPr>
        <w:t>本级。详细情况见表：</w:t>
      </w:r>
    </w:p>
    <w:p w14:paraId="4A5F8C24">
      <w:pPr>
        <w:spacing w:line="193" w:lineRule="exact"/>
      </w:pPr>
    </w:p>
    <w:tbl>
      <w:tblPr>
        <w:tblStyle w:val="5"/>
        <w:tblW w:w="8526" w:type="dxa"/>
        <w:tblInd w:w="2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027"/>
        <w:gridCol w:w="4601"/>
      </w:tblGrid>
      <w:tr w14:paraId="29337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98" w:type="dxa"/>
            <w:vAlign w:val="top"/>
          </w:tcPr>
          <w:p w14:paraId="5B6346B6">
            <w:pPr>
              <w:spacing w:before="185" w:line="227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序号</w:t>
            </w:r>
          </w:p>
        </w:tc>
        <w:tc>
          <w:tcPr>
            <w:tcW w:w="3027" w:type="dxa"/>
            <w:vAlign w:val="top"/>
          </w:tcPr>
          <w:p w14:paraId="707668E8">
            <w:pPr>
              <w:spacing w:before="185" w:line="226" w:lineRule="auto"/>
              <w:ind w:left="89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单位名称</w:t>
            </w:r>
          </w:p>
        </w:tc>
        <w:tc>
          <w:tcPr>
            <w:tcW w:w="4601" w:type="dxa"/>
            <w:vAlign w:val="top"/>
          </w:tcPr>
          <w:p w14:paraId="3938532B">
            <w:pPr>
              <w:spacing w:before="185" w:line="226" w:lineRule="auto"/>
              <w:ind w:left="168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单位性质</w:t>
            </w:r>
          </w:p>
        </w:tc>
      </w:tr>
      <w:tr w14:paraId="4E357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98" w:type="dxa"/>
            <w:vAlign w:val="top"/>
          </w:tcPr>
          <w:p w14:paraId="269FC393">
            <w:pPr>
              <w:spacing w:before="234" w:line="193" w:lineRule="auto"/>
              <w:ind w:left="398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1</w:t>
            </w:r>
          </w:p>
        </w:tc>
        <w:tc>
          <w:tcPr>
            <w:tcW w:w="3027" w:type="dxa"/>
            <w:vAlign w:val="top"/>
          </w:tcPr>
          <w:p w14:paraId="6459B6DF">
            <w:pPr>
              <w:spacing w:before="181" w:line="225" w:lineRule="auto"/>
              <w:ind w:left="10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杭锦旗人民检察院</w:t>
            </w:r>
          </w:p>
        </w:tc>
        <w:tc>
          <w:tcPr>
            <w:tcW w:w="4601" w:type="dxa"/>
            <w:vAlign w:val="top"/>
          </w:tcPr>
          <w:p w14:paraId="43086423">
            <w:pPr>
              <w:spacing w:before="181" w:line="225" w:lineRule="auto"/>
              <w:ind w:left="1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财政拨款的行政单位</w:t>
            </w:r>
          </w:p>
        </w:tc>
      </w:tr>
      <w:tr w14:paraId="33625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98" w:type="dxa"/>
            <w:vAlign w:val="top"/>
          </w:tcPr>
          <w:p w14:paraId="094F8E69">
            <w:pPr>
              <w:spacing w:before="237" w:line="193" w:lineRule="auto"/>
              <w:ind w:left="368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p>
        </w:tc>
        <w:tc>
          <w:tcPr>
            <w:tcW w:w="3027" w:type="dxa"/>
            <w:vAlign w:val="top"/>
          </w:tcPr>
          <w:p w14:paraId="39E4FD31">
            <w:pPr>
              <w:rPr>
                <w:rFonts w:ascii="Arial"/>
                <w:sz w:val="21"/>
              </w:rPr>
            </w:pPr>
          </w:p>
        </w:tc>
        <w:tc>
          <w:tcPr>
            <w:tcW w:w="4601" w:type="dxa"/>
            <w:vAlign w:val="top"/>
          </w:tcPr>
          <w:p w14:paraId="5F33E671">
            <w:pPr>
              <w:rPr>
                <w:rFonts w:ascii="Arial"/>
                <w:sz w:val="21"/>
              </w:rPr>
            </w:pPr>
          </w:p>
        </w:tc>
      </w:tr>
      <w:tr w14:paraId="59AD2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98" w:type="dxa"/>
            <w:vAlign w:val="top"/>
          </w:tcPr>
          <w:p w14:paraId="30975DD1">
            <w:pPr>
              <w:spacing w:before="239" w:line="193" w:lineRule="auto"/>
              <w:ind w:left="374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3</w:t>
            </w:r>
          </w:p>
        </w:tc>
        <w:tc>
          <w:tcPr>
            <w:tcW w:w="3027" w:type="dxa"/>
            <w:vAlign w:val="top"/>
          </w:tcPr>
          <w:p w14:paraId="433D827B">
            <w:pPr>
              <w:rPr>
                <w:rFonts w:ascii="Arial"/>
                <w:sz w:val="21"/>
              </w:rPr>
            </w:pPr>
          </w:p>
        </w:tc>
        <w:tc>
          <w:tcPr>
            <w:tcW w:w="4601" w:type="dxa"/>
            <w:vAlign w:val="top"/>
          </w:tcPr>
          <w:p w14:paraId="27CAD3A1">
            <w:pPr>
              <w:rPr>
                <w:rFonts w:ascii="Arial"/>
                <w:sz w:val="21"/>
              </w:rPr>
            </w:pPr>
          </w:p>
        </w:tc>
      </w:tr>
      <w:tr w14:paraId="0791F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8" w:type="dxa"/>
            <w:vAlign w:val="top"/>
          </w:tcPr>
          <w:p w14:paraId="6C983168">
            <w:pPr>
              <w:spacing w:before="243" w:line="193" w:lineRule="auto"/>
              <w:ind w:left="36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4</w:t>
            </w:r>
          </w:p>
        </w:tc>
        <w:tc>
          <w:tcPr>
            <w:tcW w:w="3027" w:type="dxa"/>
            <w:vAlign w:val="top"/>
          </w:tcPr>
          <w:p w14:paraId="13E26ABE">
            <w:pPr>
              <w:rPr>
                <w:rFonts w:ascii="Arial"/>
                <w:sz w:val="21"/>
              </w:rPr>
            </w:pPr>
          </w:p>
        </w:tc>
        <w:tc>
          <w:tcPr>
            <w:tcW w:w="4601" w:type="dxa"/>
            <w:vAlign w:val="top"/>
          </w:tcPr>
          <w:p w14:paraId="10A1CC0B">
            <w:pPr>
              <w:rPr>
                <w:rFonts w:ascii="Arial"/>
                <w:sz w:val="21"/>
              </w:rPr>
            </w:pPr>
          </w:p>
        </w:tc>
      </w:tr>
    </w:tbl>
    <w:p w14:paraId="4E8D9916">
      <w:pPr>
        <w:pStyle w:val="2"/>
        <w:spacing w:line="317" w:lineRule="auto"/>
      </w:pPr>
    </w:p>
    <w:p w14:paraId="0C62DD56">
      <w:pPr>
        <w:pStyle w:val="2"/>
        <w:spacing w:line="317" w:lineRule="auto"/>
      </w:pPr>
    </w:p>
    <w:p w14:paraId="4543438C">
      <w:pPr>
        <w:spacing w:before="100" w:line="222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三、2024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年度部门主要工作完成情况</w:t>
      </w:r>
    </w:p>
    <w:p w14:paraId="7D9E0BF0">
      <w:pPr>
        <w:spacing w:before="191" w:line="333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今年以来，旗检察院以习近平新时代中国特色社</w:t>
      </w:r>
      <w:r>
        <w:rPr>
          <w:rFonts w:ascii="仿宋" w:hAnsi="仿宋" w:eastAsia="仿宋" w:cs="仿宋"/>
          <w:spacing w:val="4"/>
          <w:sz w:val="31"/>
          <w:szCs w:val="31"/>
        </w:rPr>
        <w:t>会主义思想</w:t>
      </w:r>
      <w:r>
        <w:rPr>
          <w:rFonts w:ascii="仿宋" w:hAnsi="仿宋" w:eastAsia="仿宋" w:cs="仿宋"/>
          <w:spacing w:val="5"/>
          <w:sz w:val="31"/>
          <w:szCs w:val="31"/>
        </w:rPr>
        <w:t>为指导，认真贯彻落实党中央、自治区党委、市委、旗委决策部署和各级政法工作会议、检察长会议精神，坚持为大局服务、为人民司法，强化法律监督职责，不断强化队伍建设，推动各项检</w:t>
      </w:r>
      <w:r>
        <w:rPr>
          <w:rFonts w:ascii="仿宋" w:hAnsi="仿宋" w:eastAsia="仿宋" w:cs="仿宋"/>
          <w:spacing w:val="13"/>
          <w:sz w:val="31"/>
          <w:szCs w:val="31"/>
        </w:rPr>
        <w:t>察工作持续健康发展，努力为全旗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“奋力谋发展 打好翻身仗”</w:t>
      </w:r>
      <w:r>
        <w:rPr>
          <w:rFonts w:ascii="仿宋" w:hAnsi="仿宋" w:eastAsia="仿宋" w:cs="仿宋"/>
          <w:spacing w:val="7"/>
          <w:sz w:val="31"/>
          <w:szCs w:val="31"/>
        </w:rPr>
        <w:t>提供有力的司法保障。</w:t>
      </w:r>
    </w:p>
    <w:p w14:paraId="19A76A06">
      <w:pPr>
        <w:spacing w:before="1" w:line="277" w:lineRule="auto"/>
        <w:ind w:left="2" w:right="111" w:firstLine="63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楷体" w:hAnsi="楷体" w:eastAsia="楷体" w:cs="楷体"/>
          <w:spacing w:val="2"/>
          <w:sz w:val="31"/>
          <w:szCs w:val="31"/>
        </w:rPr>
        <w:t>牢牢把握法律监督的宪法定位，在维护公平正义中彰显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楷体" w:hAnsi="楷体" w:eastAsia="楷体" w:cs="楷体"/>
          <w:spacing w:val="2"/>
          <w:sz w:val="31"/>
          <w:szCs w:val="31"/>
        </w:rPr>
        <w:t>检</w:t>
      </w:r>
      <w:r>
        <w:rPr>
          <w:rFonts w:ascii="楷体" w:hAnsi="楷体" w:eastAsia="楷体" w:cs="楷体"/>
          <w:spacing w:val="5"/>
          <w:sz w:val="31"/>
          <w:szCs w:val="31"/>
        </w:rPr>
        <w:t>察价值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楷体" w:hAnsi="楷体" w:eastAsia="楷体" w:cs="楷体"/>
          <w:spacing w:val="5"/>
          <w:sz w:val="31"/>
          <w:szCs w:val="31"/>
        </w:rPr>
        <w:t>。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一是</w:t>
      </w:r>
      <w:r>
        <w:rPr>
          <w:rFonts w:ascii="仿宋" w:hAnsi="仿宋" w:eastAsia="仿宋" w:cs="仿宋"/>
          <w:spacing w:val="5"/>
          <w:sz w:val="31"/>
          <w:szCs w:val="31"/>
        </w:rPr>
        <w:t>刑事检察持续优化。共受理审查逮捕案件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47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件</w:t>
      </w:r>
    </w:p>
    <w:p w14:paraId="3DB2F722">
      <w:pPr>
        <w:spacing w:before="191" w:line="296" w:lineRule="auto"/>
        <w:ind w:right="27" w:firstLine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70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人，审查起诉案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225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件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267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人。办理刑事监督立案</w:t>
      </w:r>
      <w:r>
        <w:rPr>
          <w:rFonts w:ascii="仿宋" w:hAnsi="仿宋" w:eastAsia="仿宋" w:cs="仿宋"/>
          <w:spacing w:val="-1"/>
          <w:sz w:val="31"/>
          <w:szCs w:val="31"/>
        </w:rPr>
        <w:t>案件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5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件，</w:t>
      </w:r>
      <w:r>
        <w:rPr>
          <w:rFonts w:ascii="仿宋" w:hAnsi="仿宋" w:eastAsia="仿宋" w:cs="仿宋"/>
          <w:spacing w:val="4"/>
          <w:sz w:val="31"/>
          <w:szCs w:val="31"/>
        </w:rPr>
        <w:t>刑事监督撤案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7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件。认真落实认罪认罚从宽制度，在刑事案件中</w:t>
      </w:r>
      <w:r>
        <w:rPr>
          <w:rFonts w:ascii="仿宋" w:hAnsi="仿宋" w:eastAsia="仿宋" w:cs="仿宋"/>
          <w:spacing w:val="7"/>
          <w:sz w:val="31"/>
          <w:szCs w:val="31"/>
        </w:rPr>
        <w:t>提出适用认罪认罚从宽制度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221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人，提出确定型量刑建议的有</w:t>
      </w:r>
    </w:p>
    <w:p w14:paraId="05D45FF6"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364" w:bottom="1091" w:left="1596" w:header="0" w:footer="929" w:gutter="0"/>
          <w:cols w:space="720" w:num="1"/>
        </w:sectPr>
      </w:pPr>
    </w:p>
    <w:p w14:paraId="1B024F63">
      <w:pPr>
        <w:pStyle w:val="2"/>
        <w:spacing w:line="245" w:lineRule="auto"/>
      </w:pPr>
    </w:p>
    <w:p w14:paraId="41BA4048">
      <w:pPr>
        <w:pStyle w:val="2"/>
        <w:spacing w:line="246" w:lineRule="auto"/>
      </w:pPr>
    </w:p>
    <w:p w14:paraId="52447C1B">
      <w:pPr>
        <w:pStyle w:val="2"/>
        <w:spacing w:line="246" w:lineRule="auto"/>
      </w:pPr>
    </w:p>
    <w:p w14:paraId="32F5D28E">
      <w:pPr>
        <w:spacing w:before="101" w:line="324" w:lineRule="auto"/>
        <w:ind w:left="66" w:right="37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246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人，采纳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235人。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二是</w:t>
      </w:r>
      <w:r>
        <w:rPr>
          <w:rFonts w:ascii="仿宋" w:hAnsi="仿宋" w:eastAsia="仿宋" w:cs="仿宋"/>
          <w:spacing w:val="8"/>
          <w:sz w:val="31"/>
          <w:szCs w:val="31"/>
        </w:rPr>
        <w:t>民事检察更显温度。共受理各类民事</w:t>
      </w:r>
      <w:r>
        <w:rPr>
          <w:rFonts w:ascii="仿宋" w:hAnsi="仿宋" w:eastAsia="仿宋" w:cs="仿宋"/>
          <w:spacing w:val="6"/>
          <w:sz w:val="31"/>
          <w:szCs w:val="31"/>
        </w:rPr>
        <w:t>检察案件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50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件，办理民事生效裁判案件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件，提出再审检察建</w:t>
      </w:r>
      <w:r>
        <w:rPr>
          <w:rFonts w:ascii="仿宋" w:hAnsi="仿宋" w:eastAsia="仿宋" w:cs="仿宋"/>
          <w:spacing w:val="9"/>
          <w:sz w:val="31"/>
          <w:szCs w:val="31"/>
        </w:rPr>
        <w:t>议，法院已作出再审裁定。办理民事审判违法监督案件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23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件，</w:t>
      </w:r>
      <w:r>
        <w:rPr>
          <w:rFonts w:ascii="仿宋" w:hAnsi="仿宋" w:eastAsia="仿宋" w:cs="仿宋"/>
          <w:spacing w:val="3"/>
          <w:sz w:val="31"/>
          <w:szCs w:val="31"/>
        </w:rPr>
        <w:t>提出检察建议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23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件，办理民事执行违法活动监</w:t>
      </w:r>
      <w:r>
        <w:rPr>
          <w:rFonts w:ascii="仿宋" w:hAnsi="仿宋" w:eastAsia="仿宋" w:cs="仿宋"/>
          <w:spacing w:val="2"/>
          <w:sz w:val="31"/>
          <w:szCs w:val="31"/>
        </w:rPr>
        <w:t>督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23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件，提出检</w:t>
      </w:r>
      <w:r>
        <w:rPr>
          <w:rFonts w:ascii="仿宋" w:hAnsi="仿宋" w:eastAsia="仿宋" w:cs="仿宋"/>
          <w:spacing w:val="5"/>
          <w:sz w:val="31"/>
          <w:szCs w:val="31"/>
        </w:rPr>
        <w:t>察建议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23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件，采纳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21。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行政检察规范推进。办理各类行政</w:t>
      </w:r>
      <w:r>
        <w:rPr>
          <w:rFonts w:ascii="仿宋" w:hAnsi="仿宋" w:eastAsia="仿宋" w:cs="仿宋"/>
          <w:spacing w:val="11"/>
          <w:sz w:val="31"/>
          <w:szCs w:val="31"/>
        </w:rPr>
        <w:t>诉讼监督案件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11件。完善内部协作配合机制，办理行</w:t>
      </w:r>
      <w:r>
        <w:rPr>
          <w:rFonts w:ascii="仿宋" w:hAnsi="仿宋" w:eastAsia="仿宋" w:cs="仿宋"/>
          <w:spacing w:val="10"/>
          <w:sz w:val="31"/>
          <w:szCs w:val="31"/>
        </w:rPr>
        <w:t>刑反向衔</w:t>
      </w:r>
      <w:r>
        <w:rPr>
          <w:rFonts w:ascii="仿宋" w:hAnsi="仿宋" w:eastAsia="仿宋" w:cs="仿宋"/>
          <w:spacing w:val="3"/>
          <w:sz w:val="31"/>
          <w:szCs w:val="31"/>
        </w:rPr>
        <w:t>接案件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件。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四是</w:t>
      </w:r>
      <w:r>
        <w:rPr>
          <w:rFonts w:ascii="仿宋" w:hAnsi="仿宋" w:eastAsia="仿宋" w:cs="仿宋"/>
          <w:spacing w:val="3"/>
          <w:sz w:val="31"/>
          <w:szCs w:val="31"/>
        </w:rPr>
        <w:t>公益诉讼精准履职。共摸排线索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39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件，立案</w:t>
      </w:r>
      <w:r>
        <w:rPr>
          <w:rFonts w:ascii="仿宋" w:hAnsi="仿宋" w:eastAsia="仿宋" w:cs="仿宋"/>
          <w:spacing w:val="6"/>
          <w:sz w:val="31"/>
          <w:szCs w:val="31"/>
        </w:rPr>
        <w:t>38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件，向相关行政机关主管部门发出检察建议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32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件，磋商案件</w:t>
      </w:r>
      <w:r>
        <w:rPr>
          <w:rFonts w:ascii="仿宋" w:hAnsi="仿宋" w:eastAsia="仿宋" w:cs="仿宋"/>
          <w:spacing w:val="7"/>
          <w:sz w:val="31"/>
          <w:szCs w:val="31"/>
        </w:rPr>
        <w:t>4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件。其中，生态环境和资源保护领域案件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14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件，食品药品领</w:t>
      </w:r>
      <w:r>
        <w:rPr>
          <w:rFonts w:ascii="仿宋" w:hAnsi="仿宋" w:eastAsia="仿宋" w:cs="仿宋"/>
          <w:spacing w:val="8"/>
          <w:sz w:val="31"/>
          <w:szCs w:val="31"/>
        </w:rPr>
        <w:t>域案件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11件，国财领域案件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5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件，安全生产</w:t>
      </w:r>
      <w:r>
        <w:rPr>
          <w:rFonts w:ascii="仿宋" w:hAnsi="仿宋" w:eastAsia="仿宋" w:cs="仿宋"/>
          <w:spacing w:val="7"/>
          <w:sz w:val="31"/>
          <w:szCs w:val="31"/>
        </w:rPr>
        <w:t>领域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6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件，未成年</w:t>
      </w:r>
      <w:r>
        <w:rPr>
          <w:rFonts w:ascii="仿宋" w:hAnsi="仿宋" w:eastAsia="仿宋" w:cs="仿宋"/>
          <w:spacing w:val="4"/>
          <w:sz w:val="31"/>
          <w:szCs w:val="31"/>
        </w:rPr>
        <w:t>人保护领域案件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件。积极开展黄河保护公益诉讼检</w:t>
      </w:r>
      <w:r>
        <w:rPr>
          <w:rFonts w:ascii="仿宋" w:hAnsi="仿宋" w:eastAsia="仿宋" w:cs="仿宋"/>
          <w:spacing w:val="3"/>
          <w:sz w:val="31"/>
          <w:szCs w:val="31"/>
        </w:rPr>
        <w:t>察基层行活</w:t>
      </w:r>
      <w:r>
        <w:rPr>
          <w:rFonts w:ascii="仿宋" w:hAnsi="仿宋" w:eastAsia="仿宋" w:cs="仿宋"/>
          <w:spacing w:val="7"/>
          <w:sz w:val="31"/>
          <w:szCs w:val="31"/>
        </w:rPr>
        <w:t>动，邀请乌拉特前旗人民检察院联合开展巡河、普法宣传活动。</w:t>
      </w:r>
    </w:p>
    <w:p w14:paraId="6584F4FF">
      <w:pPr>
        <w:spacing w:before="194" w:line="322" w:lineRule="auto"/>
        <w:ind w:firstLine="70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楷体" w:hAnsi="楷体" w:eastAsia="楷体" w:cs="楷体"/>
          <w:spacing w:val="8"/>
          <w:sz w:val="31"/>
          <w:szCs w:val="31"/>
        </w:rPr>
        <w:t>忠诚履行服务大局的职责使命，在护航高质量发</w:t>
      </w:r>
      <w:r>
        <w:rPr>
          <w:rFonts w:ascii="楷体" w:hAnsi="楷体" w:eastAsia="楷体" w:cs="楷体"/>
          <w:spacing w:val="7"/>
          <w:sz w:val="31"/>
          <w:szCs w:val="31"/>
        </w:rPr>
        <w:t>展中扛起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“</w:t>
      </w:r>
      <w:r>
        <w:rPr>
          <w:rFonts w:ascii="楷体" w:hAnsi="楷体" w:eastAsia="楷体" w:cs="楷体"/>
          <w:spacing w:val="-2"/>
          <w:sz w:val="31"/>
          <w:szCs w:val="31"/>
        </w:rPr>
        <w:t>检察担当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”</w:t>
      </w:r>
      <w:r>
        <w:rPr>
          <w:rFonts w:ascii="楷体" w:hAnsi="楷体" w:eastAsia="楷体" w:cs="楷体"/>
          <w:spacing w:val="-2"/>
          <w:sz w:val="31"/>
          <w:szCs w:val="31"/>
        </w:rPr>
        <w:t>。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一是</w:t>
      </w:r>
      <w:r>
        <w:rPr>
          <w:rFonts w:ascii="仿宋" w:hAnsi="仿宋" w:eastAsia="仿宋" w:cs="仿宋"/>
          <w:spacing w:val="-2"/>
          <w:sz w:val="31"/>
          <w:szCs w:val="31"/>
        </w:rPr>
        <w:t>持续优化法治化营商环境。积极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促进营商环境法治化，</w:t>
      </w:r>
      <w:bookmarkStart w:id="0" w:name="_GoBack"/>
      <w:bookmarkEnd w:id="0"/>
      <w:r>
        <w:rPr>
          <w:rFonts w:ascii="仿宋" w:hAnsi="仿宋" w:eastAsia="仿宋" w:cs="仿宋"/>
          <w:spacing w:val="6"/>
          <w:sz w:val="31"/>
          <w:szCs w:val="31"/>
        </w:rPr>
        <w:t>与法院协调调取案件卷宗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100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余卷，依法办</w:t>
      </w:r>
      <w:r>
        <w:rPr>
          <w:rFonts w:ascii="仿宋" w:hAnsi="仿宋" w:eastAsia="仿宋" w:cs="仿宋"/>
          <w:spacing w:val="2"/>
          <w:sz w:val="31"/>
          <w:szCs w:val="31"/>
        </w:rPr>
        <w:t>理涉企执行案件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9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件。为旗内企业征订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50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份《法人》杂志期刊，</w:t>
      </w:r>
      <w:r>
        <w:rPr>
          <w:rFonts w:ascii="仿宋" w:hAnsi="仿宋" w:eastAsia="仿宋" w:cs="仿宋"/>
          <w:spacing w:val="8"/>
          <w:sz w:val="31"/>
          <w:szCs w:val="31"/>
        </w:rPr>
        <w:t>持续推动“离退休检察官服务企业工作室”和“优化法</w:t>
      </w:r>
      <w:r>
        <w:rPr>
          <w:rFonts w:ascii="仿宋" w:hAnsi="仿宋" w:eastAsia="仿宋" w:cs="仿宋"/>
          <w:spacing w:val="7"/>
          <w:sz w:val="31"/>
          <w:szCs w:val="31"/>
        </w:rPr>
        <w:t>治化营商</w:t>
      </w:r>
      <w:r>
        <w:rPr>
          <w:rFonts w:ascii="仿宋" w:hAnsi="仿宋" w:eastAsia="仿宋" w:cs="仿宋"/>
          <w:spacing w:val="8"/>
          <w:sz w:val="31"/>
          <w:szCs w:val="31"/>
        </w:rPr>
        <w:t>环境帮帮团”小程序运用，依托政法系统党建联盟开展“协同护</w:t>
      </w:r>
      <w:r>
        <w:rPr>
          <w:rFonts w:ascii="仿宋" w:hAnsi="仿宋" w:eastAsia="仿宋" w:cs="仿宋"/>
          <w:spacing w:val="7"/>
          <w:sz w:val="31"/>
          <w:szCs w:val="31"/>
        </w:rPr>
        <w:t>企 法律助企”优化营商环境 助力企业，高质量发展活动。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二是</w:t>
      </w:r>
      <w:r>
        <w:rPr>
          <w:rFonts w:ascii="仿宋" w:hAnsi="仿宋" w:eastAsia="仿宋" w:cs="仿宋"/>
          <w:spacing w:val="8"/>
          <w:sz w:val="31"/>
          <w:szCs w:val="31"/>
        </w:rPr>
        <w:t>全力纾解群众急难愁盼。践行新时代“枫桥经验”，特派</w:t>
      </w:r>
      <w:r>
        <w:rPr>
          <w:rFonts w:ascii="仿宋" w:hAnsi="仿宋" w:eastAsia="仿宋" w:cs="仿宋"/>
          <w:spacing w:val="7"/>
          <w:sz w:val="31"/>
          <w:szCs w:val="31"/>
        </w:rPr>
        <w:t>员额团</w:t>
      </w:r>
      <w:r>
        <w:rPr>
          <w:rFonts w:ascii="仿宋" w:hAnsi="仿宋" w:eastAsia="仿宋" w:cs="仿宋"/>
          <w:spacing w:val="8"/>
          <w:sz w:val="31"/>
          <w:szCs w:val="31"/>
        </w:rPr>
        <w:t>队分别包联苏木乡镇，下沉检力，与其他部门形成合力，共同化</w:t>
      </w:r>
    </w:p>
    <w:p w14:paraId="44C44C1A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391" w:bottom="1089" w:left="1528" w:header="0" w:footer="929" w:gutter="0"/>
          <w:cols w:space="720" w:num="1"/>
        </w:sectPr>
      </w:pPr>
    </w:p>
    <w:p w14:paraId="180BBAC4">
      <w:pPr>
        <w:pStyle w:val="2"/>
        <w:spacing w:line="248" w:lineRule="auto"/>
      </w:pPr>
    </w:p>
    <w:p w14:paraId="37A268CB">
      <w:pPr>
        <w:pStyle w:val="2"/>
        <w:spacing w:line="248" w:lineRule="auto"/>
      </w:pPr>
    </w:p>
    <w:p w14:paraId="5B494CAE">
      <w:pPr>
        <w:pStyle w:val="2"/>
        <w:spacing w:line="249" w:lineRule="auto"/>
      </w:pPr>
    </w:p>
    <w:p w14:paraId="78170D58">
      <w:pPr>
        <w:spacing w:before="101" w:line="333" w:lineRule="auto"/>
        <w:ind w:left="66" w:right="81" w:firstLine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解基层矛盾，促进诉源治理。共办理来信来访案件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74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件，受理</w:t>
      </w:r>
      <w:r>
        <w:rPr>
          <w:rFonts w:ascii="仿宋" w:hAnsi="仿宋" w:eastAsia="仿宋" w:cs="仿宋"/>
          <w:spacing w:val="2"/>
          <w:sz w:val="31"/>
          <w:szCs w:val="31"/>
        </w:rPr>
        <w:t>国家司法救助案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18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件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人，发放救助金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29.1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三是</w:t>
      </w:r>
      <w:r>
        <w:rPr>
          <w:rFonts w:ascii="仿宋" w:hAnsi="仿宋" w:eastAsia="仿宋" w:cs="仿宋"/>
          <w:spacing w:val="2"/>
          <w:sz w:val="31"/>
          <w:szCs w:val="31"/>
        </w:rPr>
        <w:t>护航</w:t>
      </w:r>
      <w:r>
        <w:rPr>
          <w:rFonts w:ascii="仿宋" w:hAnsi="仿宋" w:eastAsia="仿宋" w:cs="仿宋"/>
          <w:spacing w:val="3"/>
          <w:sz w:val="31"/>
          <w:szCs w:val="31"/>
        </w:rPr>
        <w:t>未成年人健康成长。开展未成年人主题检察开放日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次，通过法</w:t>
      </w:r>
      <w:r>
        <w:rPr>
          <w:rFonts w:ascii="仿宋" w:hAnsi="仿宋" w:eastAsia="仿宋" w:cs="仿宋"/>
          <w:spacing w:val="5"/>
          <w:sz w:val="31"/>
          <w:szCs w:val="31"/>
        </w:rPr>
        <w:t>律知识讲座、座谈交流等方式推动未成年人保护大格局。落实检</w:t>
      </w:r>
      <w:r>
        <w:rPr>
          <w:rFonts w:ascii="仿宋" w:hAnsi="仿宋" w:eastAsia="仿宋" w:cs="仿宋"/>
          <w:spacing w:val="17"/>
          <w:sz w:val="31"/>
          <w:szCs w:val="31"/>
        </w:rPr>
        <w:t>察官兼任法治副校长和带头宣讲法律的要求，开展送法进校园</w:t>
      </w:r>
      <w:r>
        <w:rPr>
          <w:rFonts w:ascii="仿宋" w:hAnsi="仿宋" w:eastAsia="仿宋" w:cs="仿宋"/>
          <w:spacing w:val="4"/>
          <w:sz w:val="31"/>
          <w:szCs w:val="31"/>
        </w:rPr>
        <w:t>12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次、发放宣传资料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2000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余份。推广家长和老师安装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“杭锦未</w:t>
      </w:r>
      <w:r>
        <w:rPr>
          <w:rFonts w:ascii="仿宋" w:hAnsi="仿宋" w:eastAsia="仿宋" w:cs="仿宋"/>
          <w:spacing w:val="9"/>
          <w:sz w:val="31"/>
          <w:szCs w:val="31"/>
        </w:rPr>
        <w:t>检”小程序，检查学校周边</w:t>
      </w:r>
      <w:r>
        <w:rPr>
          <w:rFonts w:ascii="仿宋" w:hAnsi="仿宋" w:eastAsia="仿宋" w:cs="仿宋"/>
          <w:spacing w:val="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三无产品”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>KTV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及旅店等接纳</w:t>
      </w:r>
      <w:r>
        <w:rPr>
          <w:rFonts w:ascii="仿宋" w:hAnsi="仿宋" w:eastAsia="仿宋" w:cs="仿宋"/>
          <w:spacing w:val="3"/>
          <w:sz w:val="31"/>
          <w:szCs w:val="31"/>
        </w:rPr>
        <w:t>未成年人未按规定登记、备案等问题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次，提出社会治理类检察</w:t>
      </w:r>
      <w:r>
        <w:rPr>
          <w:rFonts w:ascii="仿宋" w:hAnsi="仿宋" w:eastAsia="仿宋" w:cs="仿宋"/>
          <w:spacing w:val="-4"/>
          <w:sz w:val="31"/>
          <w:szCs w:val="31"/>
        </w:rPr>
        <w:t>建议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件。</w:t>
      </w:r>
    </w:p>
    <w:p w14:paraId="3FBF392E">
      <w:pPr>
        <w:spacing w:before="1" w:line="216" w:lineRule="auto"/>
        <w:ind w:left="71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3.</w:t>
      </w:r>
      <w:r>
        <w:rPr>
          <w:rFonts w:ascii="楷体" w:hAnsi="楷体" w:eastAsia="楷体" w:cs="楷体"/>
          <w:spacing w:val="9"/>
          <w:sz w:val="31"/>
          <w:szCs w:val="31"/>
        </w:rPr>
        <w:t>始终牢记检察机关的政治属性，在锻造过硬队伍中</w:t>
      </w:r>
      <w:r>
        <w:rPr>
          <w:rFonts w:ascii="楷体" w:hAnsi="楷体" w:eastAsia="楷体" w:cs="楷体"/>
          <w:spacing w:val="8"/>
          <w:sz w:val="31"/>
          <w:szCs w:val="31"/>
        </w:rPr>
        <w:t>激活</w:t>
      </w:r>
    </w:p>
    <w:p w14:paraId="591A1645">
      <w:pPr>
        <w:spacing w:before="205" w:line="333" w:lineRule="auto"/>
        <w:ind w:left="61" w:hanging="6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楷体" w:hAnsi="楷体" w:eastAsia="楷体" w:cs="楷体"/>
          <w:spacing w:val="8"/>
          <w:sz w:val="31"/>
          <w:szCs w:val="31"/>
        </w:rPr>
        <w:t>检察动能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楷体" w:hAnsi="楷体" w:eastAsia="楷体" w:cs="楷体"/>
          <w:spacing w:val="8"/>
          <w:sz w:val="31"/>
          <w:szCs w:val="31"/>
        </w:rPr>
        <w:t>。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以政治建设凝心铸魂。以高标准高质量开展党</w:t>
      </w:r>
      <w:r>
        <w:rPr>
          <w:rFonts w:ascii="仿宋" w:hAnsi="仿宋" w:eastAsia="仿宋" w:cs="仿宋"/>
          <w:spacing w:val="5"/>
          <w:sz w:val="31"/>
          <w:szCs w:val="31"/>
        </w:rPr>
        <w:t>纪学习教育为重点，将党纪学习教育融入三会一课、主题党日活</w:t>
      </w:r>
      <w:r>
        <w:rPr>
          <w:rFonts w:ascii="仿宋" w:hAnsi="仿宋" w:eastAsia="仿宋" w:cs="仿宋"/>
          <w:sz w:val="31"/>
          <w:szCs w:val="31"/>
        </w:rPr>
        <w:t>动，举办读书班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次、集中学习会议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次、警示教育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次、集中</w:t>
      </w:r>
      <w:r>
        <w:rPr>
          <w:rFonts w:ascii="仿宋" w:hAnsi="仿宋" w:eastAsia="仿宋" w:cs="仿宋"/>
          <w:spacing w:val="3"/>
          <w:sz w:val="31"/>
          <w:szCs w:val="31"/>
        </w:rPr>
        <w:t>研讨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次。把学习贯彻党的二十届三中全会精神和各级检察长会</w:t>
      </w:r>
      <w:r>
        <w:rPr>
          <w:rFonts w:ascii="仿宋" w:hAnsi="仿宋" w:eastAsia="仿宋" w:cs="仿宋"/>
          <w:spacing w:val="7"/>
          <w:sz w:val="31"/>
          <w:szCs w:val="31"/>
        </w:rPr>
        <w:t>议精神作为必修课，组织中心组集中学习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次、能力建设检察</w:t>
      </w:r>
      <w:r>
        <w:rPr>
          <w:rFonts w:ascii="仿宋" w:hAnsi="仿宋" w:eastAsia="仿宋" w:cs="仿宋"/>
          <w:spacing w:val="12"/>
          <w:sz w:val="31"/>
          <w:szCs w:val="31"/>
        </w:rPr>
        <w:t>大讲堂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12"/>
          <w:sz w:val="31"/>
          <w:szCs w:val="31"/>
        </w:rPr>
        <w:t>期。把贯彻落实《中国共产党政法工作条例》作为队</w:t>
      </w:r>
      <w:r>
        <w:rPr>
          <w:rFonts w:ascii="仿宋" w:hAnsi="仿宋" w:eastAsia="仿宋" w:cs="仿宋"/>
          <w:spacing w:val="5"/>
          <w:sz w:val="31"/>
          <w:szCs w:val="31"/>
        </w:rPr>
        <w:t>伍建设载体，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向旗委、人大、政法委请示报告工作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次。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二是</w:t>
      </w:r>
      <w:r>
        <w:rPr>
          <w:rFonts w:ascii="仿宋" w:hAnsi="仿宋" w:eastAsia="仿宋" w:cs="仿宋"/>
          <w:spacing w:val="6"/>
          <w:sz w:val="31"/>
          <w:szCs w:val="31"/>
        </w:rPr>
        <w:t>以业务建设蓄势聚能。坚持以司法办案能力建设</w:t>
      </w:r>
      <w:r>
        <w:rPr>
          <w:rFonts w:ascii="仿宋" w:hAnsi="仿宋" w:eastAsia="仿宋" w:cs="仿宋"/>
          <w:spacing w:val="5"/>
          <w:sz w:val="31"/>
          <w:szCs w:val="31"/>
        </w:rPr>
        <w:t>为核心，开展讲</w:t>
      </w:r>
      <w:r>
        <w:rPr>
          <w:rFonts w:ascii="仿宋" w:hAnsi="仿宋" w:eastAsia="仿宋" w:cs="仿宋"/>
          <w:spacing w:val="2"/>
          <w:sz w:val="31"/>
          <w:szCs w:val="31"/>
        </w:rPr>
        <w:t>座进院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2"/>
          <w:sz w:val="31"/>
          <w:szCs w:val="31"/>
        </w:rPr>
        <w:t>场次，外派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45 </w:t>
      </w:r>
      <w:r>
        <w:rPr>
          <w:rFonts w:ascii="仿宋" w:hAnsi="仿宋" w:eastAsia="仿宋" w:cs="仿宋"/>
          <w:spacing w:val="2"/>
          <w:sz w:val="31"/>
          <w:szCs w:val="31"/>
        </w:rPr>
        <w:t>名检察人员参加各级各类专业知识培</w:t>
      </w:r>
      <w:r>
        <w:rPr>
          <w:rFonts w:ascii="仿宋" w:hAnsi="仿宋" w:eastAsia="仿宋" w:cs="仿宋"/>
          <w:spacing w:val="1"/>
          <w:sz w:val="31"/>
          <w:szCs w:val="31"/>
        </w:rPr>
        <w:t>训，</w:t>
      </w:r>
      <w:r>
        <w:rPr>
          <w:rFonts w:ascii="仿宋" w:hAnsi="仿宋" w:eastAsia="仿宋" w:cs="仿宋"/>
          <w:spacing w:val="5"/>
          <w:sz w:val="31"/>
          <w:szCs w:val="31"/>
        </w:rPr>
        <w:t>落实领导干部和业务骨干上讲台制度，全面提升检察人员综合素</w:t>
      </w:r>
      <w:r>
        <w:rPr>
          <w:rFonts w:ascii="仿宋" w:hAnsi="仿宋" w:eastAsia="仿宋" w:cs="仿宋"/>
          <w:spacing w:val="6"/>
          <w:sz w:val="31"/>
          <w:szCs w:val="31"/>
        </w:rPr>
        <w:t>能。贯彻实施市院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235 </w:t>
      </w:r>
      <w:r>
        <w:rPr>
          <w:rFonts w:ascii="仿宋" w:hAnsi="仿宋" w:eastAsia="仿宋" w:cs="仿宋"/>
          <w:spacing w:val="6"/>
          <w:sz w:val="31"/>
          <w:szCs w:val="31"/>
        </w:rPr>
        <w:t>后备人才计划”，向市院、旗委推荐后</w:t>
      </w:r>
      <w:r>
        <w:rPr>
          <w:rFonts w:ascii="仿宋" w:hAnsi="仿宋" w:eastAsia="仿宋" w:cs="仿宋"/>
          <w:spacing w:val="5"/>
          <w:sz w:val="31"/>
          <w:szCs w:val="31"/>
        </w:rPr>
        <w:t>备人才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5"/>
          <w:sz w:val="31"/>
          <w:szCs w:val="31"/>
        </w:rPr>
        <w:t>名，尽力培养和用好各类检察人才。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以作风建设</w:t>
      </w:r>
    </w:p>
    <w:p w14:paraId="07438C45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391" w:bottom="1091" w:left="1528" w:header="0" w:footer="929" w:gutter="0"/>
          <w:cols w:space="720" w:num="1"/>
        </w:sectPr>
      </w:pPr>
    </w:p>
    <w:p w14:paraId="2019231F">
      <w:pPr>
        <w:pStyle w:val="2"/>
        <w:spacing w:line="244" w:lineRule="auto"/>
      </w:pPr>
    </w:p>
    <w:p w14:paraId="08842EA4">
      <w:pPr>
        <w:pStyle w:val="2"/>
        <w:spacing w:line="244" w:lineRule="auto"/>
      </w:pPr>
    </w:p>
    <w:p w14:paraId="2283C1C1">
      <w:pPr>
        <w:pStyle w:val="2"/>
        <w:spacing w:line="245" w:lineRule="auto"/>
      </w:pPr>
    </w:p>
    <w:p w14:paraId="52801D07">
      <w:pPr>
        <w:spacing w:before="100" w:line="334" w:lineRule="auto"/>
        <w:ind w:left="4" w:firstLine="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固本培元。把“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三个规定”执行化成政治自觉、法治自觉和检察</w:t>
      </w:r>
      <w:r>
        <w:rPr>
          <w:rFonts w:ascii="仿宋" w:hAnsi="仿宋" w:eastAsia="仿宋" w:cs="仿宋"/>
          <w:sz w:val="31"/>
          <w:szCs w:val="31"/>
        </w:rPr>
        <w:t>自觉，持续推进全面从严治党管检。常态化开展检务督察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次，</w:t>
      </w:r>
      <w:r>
        <w:rPr>
          <w:rFonts w:ascii="仿宋" w:hAnsi="仿宋" w:eastAsia="仿宋" w:cs="仿宋"/>
          <w:spacing w:val="6"/>
          <w:sz w:val="31"/>
          <w:szCs w:val="31"/>
        </w:rPr>
        <w:t>加强监督管理干警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八小时内外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的日常活动，针对发现的司法不</w:t>
      </w:r>
      <w:r>
        <w:rPr>
          <w:rFonts w:ascii="仿宋" w:hAnsi="仿宋" w:eastAsia="仿宋" w:cs="仿宋"/>
          <w:spacing w:val="9"/>
          <w:sz w:val="31"/>
          <w:szCs w:val="31"/>
        </w:rPr>
        <w:t>规范、制度执行不到位问题及时开展提醒谈话。开展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以案促改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警示教育活动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次，促使检察人员知敬畏、存戒惧</w:t>
      </w:r>
      <w:r>
        <w:rPr>
          <w:rFonts w:ascii="仿宋" w:hAnsi="仿宋" w:eastAsia="仿宋" w:cs="仿宋"/>
          <w:spacing w:val="3"/>
          <w:sz w:val="31"/>
          <w:szCs w:val="31"/>
        </w:rPr>
        <w:t>、守底线。持</w:t>
      </w:r>
      <w:r>
        <w:rPr>
          <w:rFonts w:ascii="仿宋" w:hAnsi="仿宋" w:eastAsia="仿宋" w:cs="仿宋"/>
          <w:spacing w:val="5"/>
          <w:sz w:val="31"/>
          <w:szCs w:val="31"/>
        </w:rPr>
        <w:t>续落实旗委政法委和市院政治督查整改意见，有效转化运用督察</w:t>
      </w:r>
      <w:r>
        <w:rPr>
          <w:rFonts w:ascii="仿宋" w:hAnsi="仿宋" w:eastAsia="仿宋" w:cs="仿宋"/>
          <w:spacing w:val="2"/>
          <w:sz w:val="31"/>
          <w:szCs w:val="31"/>
        </w:rPr>
        <w:t>成果。</w:t>
      </w:r>
    </w:p>
    <w:p w14:paraId="07A8809D">
      <w:pPr>
        <w:pStyle w:val="2"/>
        <w:spacing w:line="454" w:lineRule="auto"/>
      </w:pPr>
    </w:p>
    <w:p w14:paraId="084BA5DD">
      <w:pPr>
        <w:spacing w:before="100" w:line="221" w:lineRule="auto"/>
        <w:ind w:left="242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第二部分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部门决算情况说明</w:t>
      </w:r>
    </w:p>
    <w:p w14:paraId="77501055">
      <w:pPr>
        <w:spacing w:before="191" w:line="222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 w14:paraId="0970F415">
      <w:pPr>
        <w:spacing w:before="186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杭锦旗人民检察院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8"/>
          <w:sz w:val="31"/>
          <w:szCs w:val="31"/>
        </w:rPr>
        <w:t>年度收入、支出决算总计</w:t>
      </w:r>
      <w:r>
        <w:rPr>
          <w:rFonts w:ascii="仿宋" w:hAnsi="仿宋" w:eastAsia="仿宋" w:cs="仿宋"/>
          <w:spacing w:val="7"/>
          <w:sz w:val="31"/>
          <w:szCs w:val="31"/>
        </w:rPr>
        <w:t>均为</w:t>
      </w:r>
    </w:p>
    <w:p w14:paraId="1E12AC8A">
      <w:pPr>
        <w:spacing w:before="183" w:line="334" w:lineRule="auto"/>
        <w:ind w:left="3" w:right="81" w:hanging="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2379.49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万元。与年初预算相比，收、支总</w:t>
      </w:r>
      <w:r>
        <w:rPr>
          <w:rFonts w:ascii="仿宋" w:hAnsi="仿宋" w:eastAsia="仿宋" w:cs="仿宋"/>
          <w:spacing w:val="4"/>
          <w:sz w:val="31"/>
          <w:szCs w:val="31"/>
        </w:rPr>
        <w:t>计各增加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1275.92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元，增长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115.62%</w:t>
      </w:r>
      <w:r>
        <w:rPr>
          <w:rFonts w:ascii="仿宋" w:hAnsi="仿宋" w:eastAsia="仿宋" w:cs="仿宋"/>
          <w:spacing w:val="7"/>
          <w:sz w:val="31"/>
          <w:szCs w:val="31"/>
        </w:rPr>
        <w:t>，变动原因：一是财政厅追加预算共计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50.8</w:t>
      </w:r>
      <w:r>
        <w:rPr>
          <w:rFonts w:ascii="仿宋" w:hAnsi="仿宋" w:eastAsia="仿宋" w:cs="仿宋"/>
          <w:spacing w:val="8"/>
          <w:sz w:val="31"/>
          <w:szCs w:val="31"/>
        </w:rPr>
        <w:t>万元（年末收回预算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96.65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</w:t>
      </w:r>
      <w:r>
        <w:rPr>
          <w:rFonts w:ascii="仿宋" w:hAnsi="仿宋" w:eastAsia="仿宋" w:cs="仿宋"/>
          <w:spacing w:val="-16"/>
          <w:sz w:val="31"/>
          <w:szCs w:val="31"/>
        </w:rPr>
        <w:t>），</w:t>
      </w:r>
      <w:r>
        <w:rPr>
          <w:rFonts w:ascii="仿宋" w:hAnsi="仿宋" w:eastAsia="仿宋" w:cs="仿宋"/>
          <w:spacing w:val="8"/>
          <w:sz w:val="31"/>
          <w:szCs w:val="31"/>
        </w:rPr>
        <w:t>包括：追</w:t>
      </w:r>
      <w:r>
        <w:rPr>
          <w:rFonts w:ascii="仿宋" w:hAnsi="仿宋" w:eastAsia="仿宋" w:cs="仿宋"/>
          <w:spacing w:val="7"/>
          <w:sz w:val="31"/>
          <w:szCs w:val="31"/>
        </w:rPr>
        <w:t>加办案（业务）经</w:t>
      </w:r>
      <w:r>
        <w:rPr>
          <w:rFonts w:ascii="仿宋" w:hAnsi="仿宋" w:eastAsia="仿宋" w:cs="仿宋"/>
          <w:spacing w:val="2"/>
          <w:sz w:val="31"/>
          <w:szCs w:val="31"/>
        </w:rPr>
        <w:t>费预算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万元，追加妇女卫生费（福利费）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0.8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万元。二是其他</w:t>
      </w:r>
      <w:r>
        <w:rPr>
          <w:rFonts w:ascii="仿宋" w:hAnsi="仿宋" w:eastAsia="仿宋" w:cs="仿宋"/>
          <w:spacing w:val="5"/>
          <w:sz w:val="31"/>
          <w:szCs w:val="31"/>
        </w:rPr>
        <w:t>收入调整预算数为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1313.14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万元，包括：旗财政拨款退休人员工</w:t>
      </w:r>
      <w:r>
        <w:rPr>
          <w:rFonts w:ascii="仿宋" w:hAnsi="仿宋" w:eastAsia="仿宋" w:cs="仿宋"/>
          <w:spacing w:val="2"/>
          <w:sz w:val="31"/>
          <w:szCs w:val="31"/>
        </w:rPr>
        <w:t>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33.22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万元；旗财政拨款遗属人员生活补助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万元；旗财政</w:t>
      </w:r>
      <w:r>
        <w:rPr>
          <w:rFonts w:ascii="仿宋" w:hAnsi="仿宋" w:eastAsia="仿宋" w:cs="仿宋"/>
          <w:spacing w:val="5"/>
          <w:sz w:val="31"/>
          <w:szCs w:val="31"/>
        </w:rPr>
        <w:t>拨款死亡一次性抚恤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17.25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万元；旗财政拨款以前年度办案业务</w:t>
      </w:r>
      <w:r>
        <w:rPr>
          <w:rFonts w:ascii="仿宋" w:hAnsi="仿宋" w:eastAsia="仿宋" w:cs="仿宋"/>
          <w:spacing w:val="6"/>
          <w:sz w:val="31"/>
          <w:szCs w:val="31"/>
        </w:rPr>
        <w:t>用房维修改造费用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万元；旗财政拨款办案业务及其他检察</w:t>
      </w:r>
      <w:r>
        <w:rPr>
          <w:rFonts w:ascii="仿宋" w:hAnsi="仿宋" w:eastAsia="仿宋" w:cs="仿宋"/>
          <w:spacing w:val="4"/>
          <w:sz w:val="31"/>
          <w:szCs w:val="31"/>
        </w:rPr>
        <w:t>经费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万元；旗财政拨款补发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2014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年称职等津贴补贴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8.72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>元；旗税务局代扣代缴奖励金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0.27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万元。三是年初结转结余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8.63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万元；与上年决算相比，收、支总计各增加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802.97</w:t>
      </w: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</w:p>
    <w:p w14:paraId="674A31E6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391" w:bottom="1091" w:left="1593" w:header="0" w:footer="929" w:gutter="0"/>
          <w:cols w:space="720" w:num="1"/>
        </w:sectPr>
      </w:pPr>
    </w:p>
    <w:p w14:paraId="6B47E59F">
      <w:pPr>
        <w:pStyle w:val="2"/>
        <w:spacing w:line="246" w:lineRule="auto"/>
      </w:pPr>
    </w:p>
    <w:p w14:paraId="7E4001FB">
      <w:pPr>
        <w:pStyle w:val="2"/>
        <w:spacing w:line="246" w:lineRule="auto"/>
      </w:pPr>
    </w:p>
    <w:p w14:paraId="1C42ECBB">
      <w:pPr>
        <w:pStyle w:val="2"/>
        <w:spacing w:line="246" w:lineRule="auto"/>
      </w:pPr>
    </w:p>
    <w:p w14:paraId="68147BA4">
      <w:pPr>
        <w:spacing w:before="101" w:line="332" w:lineRule="auto"/>
        <w:ind w:left="30" w:right="182" w:hanging="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50.93%</w:t>
      </w:r>
      <w:r>
        <w:rPr>
          <w:rFonts w:ascii="仿宋" w:hAnsi="仿宋" w:eastAsia="仿宋" w:cs="仿宋"/>
          <w:spacing w:val="6"/>
          <w:sz w:val="31"/>
          <w:szCs w:val="31"/>
        </w:rPr>
        <w:t>。其中：财政拨款收入减少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271.09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万元，其他收入增加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1072.94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万元，年初结转结余增加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1.12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 w14:paraId="45D2194E">
      <w:pPr>
        <w:spacing w:before="2" w:line="225" w:lineRule="auto"/>
        <w:ind w:left="4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（一）收入决算总计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2379.49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万元。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包括：</w:t>
      </w:r>
    </w:p>
    <w:p w14:paraId="4689EBBB">
      <w:pPr>
        <w:spacing w:before="185" w:line="305" w:lineRule="auto"/>
        <w:ind w:right="83" w:firstLine="67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14"/>
          <w:sz w:val="31"/>
          <w:szCs w:val="31"/>
        </w:rPr>
        <w:t>本年收入决算合计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2370.86</w:t>
      </w: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与上年决算</w:t>
      </w:r>
      <w:r>
        <w:rPr>
          <w:rFonts w:ascii="仿宋" w:hAnsi="仿宋" w:eastAsia="仿宋" w:cs="仿宋"/>
          <w:spacing w:val="13"/>
          <w:sz w:val="31"/>
          <w:szCs w:val="31"/>
        </w:rPr>
        <w:t>相比，增</w:t>
      </w:r>
      <w:r>
        <w:rPr>
          <w:rFonts w:ascii="仿宋" w:hAnsi="仿宋" w:eastAsia="仿宋" w:cs="仿宋"/>
          <w:spacing w:val="5"/>
          <w:sz w:val="31"/>
          <w:szCs w:val="31"/>
        </w:rPr>
        <w:t>加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801.85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万元，增长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51.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11%</w:t>
      </w:r>
      <w:r>
        <w:rPr>
          <w:rFonts w:ascii="仿宋" w:hAnsi="仿宋" w:eastAsia="仿宋" w:cs="仿宋"/>
          <w:spacing w:val="5"/>
          <w:sz w:val="31"/>
          <w:szCs w:val="31"/>
        </w:rPr>
        <w:t>，变动原因是旗财政拨付我院以前</w:t>
      </w:r>
      <w:r>
        <w:rPr>
          <w:rFonts w:ascii="仿宋" w:hAnsi="仿宋" w:eastAsia="仿宋" w:cs="仿宋"/>
          <w:spacing w:val="7"/>
          <w:sz w:val="31"/>
          <w:szCs w:val="31"/>
        </w:rPr>
        <w:t>年度办案业务用房维修改造费用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pacing w:val="6"/>
          <w:sz w:val="31"/>
          <w:szCs w:val="31"/>
        </w:rPr>
        <w:t>为一次性项目，于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6"/>
          <w:sz w:val="31"/>
          <w:szCs w:val="31"/>
        </w:rPr>
        <w:t>年结束，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6"/>
          <w:sz w:val="31"/>
          <w:szCs w:val="31"/>
        </w:rPr>
        <w:t>年收入相应增加。</w:t>
      </w:r>
    </w:p>
    <w:p w14:paraId="7E357B88">
      <w:pPr>
        <w:spacing w:before="190" w:line="276" w:lineRule="auto"/>
        <w:ind w:left="1" w:right="83" w:firstLine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使用非财政拨款结余（含专用结余）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万元。与上年决算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相比，增加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万元，增长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0%</w:t>
      </w:r>
      <w:r>
        <w:rPr>
          <w:rFonts w:ascii="仿宋" w:hAnsi="仿宋" w:eastAsia="仿宋" w:cs="仿宋"/>
          <w:spacing w:val="7"/>
          <w:sz w:val="31"/>
          <w:szCs w:val="31"/>
        </w:rPr>
        <w:t>，变动原因：不存在此项内容。</w:t>
      </w:r>
    </w:p>
    <w:p w14:paraId="489BF961">
      <w:pPr>
        <w:spacing w:before="191" w:line="306" w:lineRule="auto"/>
        <w:ind w:left="9" w:right="82" w:firstLine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年初结转和结余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8.63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万元。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与上年决算相比，增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加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1.12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14.90%</w:t>
      </w:r>
      <w:r>
        <w:rPr>
          <w:rFonts w:ascii="仿宋" w:hAnsi="仿宋" w:eastAsia="仿宋" w:cs="仿宋"/>
          <w:spacing w:val="7"/>
          <w:sz w:val="31"/>
          <w:szCs w:val="31"/>
        </w:rPr>
        <w:t>，变动原因：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7"/>
          <w:sz w:val="31"/>
          <w:szCs w:val="31"/>
        </w:rPr>
        <w:t>年旗财政拨付人才载体平</w:t>
      </w:r>
      <w:r>
        <w:rPr>
          <w:rFonts w:ascii="仿宋" w:hAnsi="仿宋" w:eastAsia="仿宋" w:cs="仿宋"/>
          <w:spacing w:val="-7"/>
          <w:sz w:val="31"/>
          <w:szCs w:val="31"/>
        </w:rPr>
        <w:t>台建设运行经费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万元，当年支出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0.2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万元，结转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1.8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万元于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2024</w:t>
      </w:r>
      <w:r>
        <w:rPr>
          <w:rFonts w:ascii="仿宋" w:hAnsi="仿宋" w:eastAsia="仿宋" w:cs="仿宋"/>
          <w:spacing w:val="-4"/>
          <w:sz w:val="31"/>
          <w:szCs w:val="31"/>
        </w:rPr>
        <w:t>年。</w:t>
      </w:r>
    </w:p>
    <w:p w14:paraId="24A36001">
      <w:pPr>
        <w:spacing w:before="185" w:line="225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二）支出决算总计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2379.49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万元。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包括：</w:t>
      </w:r>
    </w:p>
    <w:p w14:paraId="4E0A4E9F">
      <w:pPr>
        <w:spacing w:before="183" w:line="305" w:lineRule="auto"/>
        <w:ind w:left="4" w:right="82" w:firstLine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本年支出决算合计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2304.87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万元。与上</w:t>
      </w:r>
      <w:r>
        <w:rPr>
          <w:rFonts w:ascii="仿宋" w:hAnsi="仿宋" w:eastAsia="仿宋" w:cs="仿宋"/>
          <w:spacing w:val="5"/>
          <w:sz w:val="31"/>
          <w:szCs w:val="31"/>
        </w:rPr>
        <w:t>年决算相比，增加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736.98</w:t>
      </w:r>
      <w:r>
        <w:rPr>
          <w:rFonts w:ascii="Times New Roman" w:hAnsi="Times New Roman" w:eastAsia="Times New Roman" w:cs="Times New Roman"/>
          <w:spacing w:val="4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万元，增长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47.00%</w:t>
      </w:r>
      <w:r>
        <w:rPr>
          <w:rFonts w:ascii="仿宋" w:hAnsi="仿宋" w:eastAsia="仿宋" w:cs="仿宋"/>
          <w:spacing w:val="9"/>
          <w:sz w:val="31"/>
          <w:szCs w:val="31"/>
        </w:rPr>
        <w:t>，变动原因是旗财政拨付我院以前年</w:t>
      </w:r>
      <w:r>
        <w:rPr>
          <w:rFonts w:ascii="仿宋" w:hAnsi="仿宋" w:eastAsia="仿宋" w:cs="仿宋"/>
          <w:spacing w:val="-4"/>
          <w:sz w:val="31"/>
          <w:szCs w:val="31"/>
        </w:rPr>
        <w:t>度办案业务用房维修改造费用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万元，为一次性项目，于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24</w:t>
      </w:r>
      <w:r>
        <w:rPr>
          <w:rFonts w:ascii="仿宋" w:hAnsi="仿宋" w:eastAsia="仿宋" w:cs="仿宋"/>
          <w:spacing w:val="7"/>
          <w:sz w:val="31"/>
          <w:szCs w:val="31"/>
        </w:rPr>
        <w:t>年结束，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7"/>
          <w:sz w:val="31"/>
          <w:szCs w:val="31"/>
        </w:rPr>
        <w:t>年支出相应增加。</w:t>
      </w:r>
    </w:p>
    <w:p w14:paraId="33783401">
      <w:pPr>
        <w:spacing w:before="192" w:line="276" w:lineRule="auto"/>
        <w:ind w:left="26" w:firstLine="61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2.</w:t>
      </w:r>
      <w:r>
        <w:rPr>
          <w:rFonts w:ascii="仿宋" w:hAnsi="仿宋" w:eastAsia="仿宋" w:cs="仿宋"/>
          <w:spacing w:val="-11"/>
          <w:sz w:val="31"/>
          <w:szCs w:val="31"/>
        </w:rPr>
        <w:t>结余分配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万元。与上年决算相比，增加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万元，增长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0%</w:t>
      </w:r>
      <w:r>
        <w:rPr>
          <w:rFonts w:ascii="仿宋" w:hAnsi="仿宋" w:eastAsia="仿宋" w:cs="仿宋"/>
          <w:spacing w:val="-11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变动原因：不存在此项内容。</w:t>
      </w:r>
    </w:p>
    <w:p w14:paraId="36AE4139">
      <w:pPr>
        <w:spacing w:before="191" w:line="277" w:lineRule="auto"/>
        <w:ind w:left="5" w:right="45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3.</w:t>
      </w:r>
      <w:r>
        <w:rPr>
          <w:rFonts w:ascii="仿宋" w:hAnsi="仿宋" w:eastAsia="仿宋" w:cs="仿宋"/>
          <w:spacing w:val="6"/>
          <w:sz w:val="31"/>
          <w:szCs w:val="31"/>
        </w:rPr>
        <w:t>年末结转和结余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74.62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万元。结转和结余事项：主要是银</w:t>
      </w:r>
      <w:r>
        <w:rPr>
          <w:rFonts w:ascii="仿宋" w:hAnsi="仿宋" w:eastAsia="仿宋" w:cs="仿宋"/>
          <w:spacing w:val="7"/>
          <w:sz w:val="31"/>
          <w:szCs w:val="31"/>
        </w:rPr>
        <w:t>行存款、现金以及以前年度其他应收个人款。</w:t>
      </w:r>
      <w:r>
        <w:rPr>
          <w:rFonts w:ascii="仿宋" w:hAnsi="仿宋" w:eastAsia="仿宋" w:cs="仿宋"/>
          <w:spacing w:val="6"/>
          <w:sz w:val="31"/>
          <w:szCs w:val="31"/>
        </w:rPr>
        <w:t>与上年决算相比，</w:t>
      </w:r>
    </w:p>
    <w:p w14:paraId="37683C55">
      <w:pPr>
        <w:spacing w:line="277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391" w:bottom="1091" w:left="1593" w:header="0" w:footer="929" w:gutter="0"/>
          <w:cols w:space="720" w:num="1"/>
        </w:sectPr>
      </w:pPr>
    </w:p>
    <w:p w14:paraId="399D93C6">
      <w:pPr>
        <w:pStyle w:val="2"/>
        <w:spacing w:line="246" w:lineRule="auto"/>
      </w:pPr>
    </w:p>
    <w:p w14:paraId="187CC10D">
      <w:pPr>
        <w:pStyle w:val="2"/>
        <w:spacing w:line="247" w:lineRule="auto"/>
      </w:pPr>
    </w:p>
    <w:p w14:paraId="1087F0D0">
      <w:pPr>
        <w:pStyle w:val="2"/>
        <w:spacing w:line="247" w:lineRule="auto"/>
      </w:pPr>
    </w:p>
    <w:p w14:paraId="34B2F05C">
      <w:pPr>
        <w:spacing w:before="101" w:line="333" w:lineRule="auto"/>
        <w:ind w:left="6" w:right="15" w:hanging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增加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65.99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764.67%</w:t>
      </w:r>
      <w:r>
        <w:rPr>
          <w:rFonts w:ascii="仿宋" w:hAnsi="仿宋" w:eastAsia="仿宋" w:cs="仿宋"/>
          <w:spacing w:val="4"/>
          <w:sz w:val="31"/>
          <w:szCs w:val="31"/>
        </w:rPr>
        <w:t>，变动原因：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4"/>
          <w:sz w:val="31"/>
          <w:szCs w:val="31"/>
        </w:rPr>
        <w:t>年旗财</w:t>
      </w:r>
      <w:r>
        <w:rPr>
          <w:rFonts w:ascii="仿宋" w:hAnsi="仿宋" w:eastAsia="仿宋" w:cs="仿宋"/>
          <w:spacing w:val="3"/>
          <w:sz w:val="31"/>
          <w:szCs w:val="31"/>
        </w:rPr>
        <w:t>政拨付</w:t>
      </w:r>
      <w:r>
        <w:rPr>
          <w:rFonts w:ascii="仿宋" w:hAnsi="仿宋" w:eastAsia="仿宋" w:cs="仿宋"/>
          <w:spacing w:val="2"/>
          <w:sz w:val="31"/>
          <w:szCs w:val="31"/>
        </w:rPr>
        <w:t>我院办案业务及其他检察经费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2500000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当年尚未支出完毕，</w:t>
      </w:r>
      <w:r>
        <w:rPr>
          <w:rFonts w:ascii="仿宋" w:hAnsi="仿宋" w:eastAsia="仿宋" w:cs="仿宋"/>
          <w:spacing w:val="5"/>
          <w:sz w:val="31"/>
          <w:szCs w:val="31"/>
        </w:rPr>
        <w:t>将于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5"/>
          <w:sz w:val="31"/>
          <w:szCs w:val="31"/>
        </w:rPr>
        <w:t>年全部支出。</w:t>
      </w:r>
    </w:p>
    <w:p w14:paraId="71951B95">
      <w:pPr>
        <w:spacing w:before="1" w:line="222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二、收入决算情况说明</w:t>
      </w:r>
    </w:p>
    <w:p w14:paraId="491D723C">
      <w:pPr>
        <w:spacing w:before="184" w:line="334" w:lineRule="auto"/>
        <w:ind w:left="14" w:right="178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杭锦旗人民检察院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6"/>
          <w:sz w:val="31"/>
          <w:szCs w:val="31"/>
        </w:rPr>
        <w:t>年度本年收入决算</w:t>
      </w:r>
      <w:r>
        <w:rPr>
          <w:rFonts w:ascii="仿宋" w:hAnsi="仿宋" w:eastAsia="仿宋" w:cs="仿宋"/>
          <w:spacing w:val="5"/>
          <w:sz w:val="31"/>
          <w:szCs w:val="31"/>
        </w:rPr>
        <w:t>合计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2370.86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pacing w:val="3"/>
          <w:sz w:val="31"/>
          <w:szCs w:val="31"/>
        </w:rPr>
        <w:t>元，其中：</w:t>
      </w:r>
    </w:p>
    <w:p w14:paraId="67E156AA"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本年一般公共预算财政拨款收入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1057.72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44.61%</w:t>
      </w:r>
      <w:r>
        <w:rPr>
          <w:rFonts w:ascii="仿宋" w:hAnsi="仿宋" w:eastAsia="仿宋" w:cs="仿宋"/>
          <w:sz w:val="31"/>
          <w:szCs w:val="31"/>
        </w:rPr>
        <w:t>；</w:t>
      </w:r>
    </w:p>
    <w:p w14:paraId="18B020E4">
      <w:pPr>
        <w:spacing w:before="187" w:line="220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本年政府性基金预算财政拨款收入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0%</w:t>
      </w:r>
      <w:r>
        <w:rPr>
          <w:rFonts w:ascii="仿宋" w:hAnsi="仿宋" w:eastAsia="仿宋" w:cs="仿宋"/>
          <w:spacing w:val="2"/>
          <w:sz w:val="31"/>
          <w:szCs w:val="31"/>
        </w:rPr>
        <w:t>；</w:t>
      </w:r>
    </w:p>
    <w:p w14:paraId="10CAFAE1">
      <w:pPr>
        <w:spacing w:before="188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本年国有资本经营预算财政拨款收入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0%</w:t>
      </w:r>
      <w:r>
        <w:rPr>
          <w:rFonts w:ascii="仿宋" w:hAnsi="仿宋" w:eastAsia="仿宋" w:cs="仿宋"/>
          <w:spacing w:val="3"/>
          <w:sz w:val="31"/>
          <w:szCs w:val="31"/>
        </w:rPr>
        <w:t>；</w:t>
      </w:r>
    </w:p>
    <w:p w14:paraId="08A65EB3">
      <w:pPr>
        <w:spacing w:before="189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本年上级补助收入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0%</w:t>
      </w:r>
      <w:r>
        <w:rPr>
          <w:rFonts w:ascii="仿宋" w:hAnsi="仿宋" w:eastAsia="仿宋" w:cs="仿宋"/>
          <w:spacing w:val="-1"/>
          <w:sz w:val="31"/>
          <w:szCs w:val="31"/>
        </w:rPr>
        <w:t>；</w:t>
      </w:r>
    </w:p>
    <w:p w14:paraId="64845D77">
      <w:pPr>
        <w:spacing w:before="18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本年事业收入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0%</w:t>
      </w:r>
      <w:r>
        <w:rPr>
          <w:rFonts w:ascii="仿宋" w:hAnsi="仿宋" w:eastAsia="仿宋" w:cs="仿宋"/>
          <w:spacing w:val="-2"/>
          <w:sz w:val="31"/>
          <w:szCs w:val="31"/>
        </w:rPr>
        <w:t>；</w:t>
      </w:r>
    </w:p>
    <w:p w14:paraId="4B0D19BA">
      <w:pPr>
        <w:spacing w:before="18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本年经营收入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0%</w:t>
      </w:r>
      <w:r>
        <w:rPr>
          <w:rFonts w:ascii="仿宋" w:hAnsi="仿宋" w:eastAsia="仿宋" w:cs="仿宋"/>
          <w:spacing w:val="-2"/>
          <w:sz w:val="31"/>
          <w:szCs w:val="31"/>
        </w:rPr>
        <w:t>；</w:t>
      </w:r>
    </w:p>
    <w:p w14:paraId="302C5321">
      <w:pPr>
        <w:spacing w:before="188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本年附属单位上缴收入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0%</w:t>
      </w:r>
      <w:r>
        <w:rPr>
          <w:rFonts w:ascii="仿宋" w:hAnsi="仿宋" w:eastAsia="仿宋" w:cs="仿宋"/>
          <w:sz w:val="31"/>
          <w:szCs w:val="31"/>
        </w:rPr>
        <w:t>；</w:t>
      </w:r>
    </w:p>
    <w:p w14:paraId="122978A8">
      <w:pPr>
        <w:spacing w:before="188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本年其他收入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1313.14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55.39%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 w14:paraId="41E3D8AC">
      <w:pPr>
        <w:pStyle w:val="2"/>
        <w:spacing w:line="248" w:lineRule="auto"/>
      </w:pPr>
    </w:p>
    <w:p w14:paraId="020B7441">
      <w:pPr>
        <w:spacing w:line="3753" w:lineRule="exact"/>
        <w:ind w:firstLine="1666"/>
      </w:pPr>
      <w:r>
        <w:rPr>
          <w:position w:val="-75"/>
        </w:rPr>
        <w:drawing>
          <wp:inline distT="0" distB="0" distL="0" distR="0">
            <wp:extent cx="3810000" cy="23831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9B16B">
      <w:pPr>
        <w:spacing w:before="105" w:line="222" w:lineRule="auto"/>
        <w:ind w:left="3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图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收入决算图</w:t>
      </w:r>
    </w:p>
    <w:p w14:paraId="2834C708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422" w:bottom="1091" w:left="1595" w:header="0" w:footer="929" w:gutter="0"/>
          <w:cols w:space="720" w:num="1"/>
        </w:sectPr>
      </w:pPr>
    </w:p>
    <w:p w14:paraId="5654E3F8">
      <w:pPr>
        <w:pStyle w:val="2"/>
        <w:spacing w:line="246" w:lineRule="auto"/>
      </w:pPr>
    </w:p>
    <w:p w14:paraId="22FA511A">
      <w:pPr>
        <w:pStyle w:val="2"/>
        <w:spacing w:line="246" w:lineRule="auto"/>
      </w:pPr>
    </w:p>
    <w:p w14:paraId="1D82865A">
      <w:pPr>
        <w:pStyle w:val="2"/>
        <w:spacing w:line="246" w:lineRule="auto"/>
      </w:pPr>
    </w:p>
    <w:p w14:paraId="217591F4">
      <w:pPr>
        <w:spacing w:before="101" w:line="222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三、支出决算情况说明</w:t>
      </w:r>
    </w:p>
    <w:p w14:paraId="29D73DCE">
      <w:pPr>
        <w:spacing w:before="184" w:line="334" w:lineRule="auto"/>
        <w:ind w:left="7" w:right="134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杭锦旗人民检察院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6"/>
          <w:sz w:val="31"/>
          <w:szCs w:val="31"/>
        </w:rPr>
        <w:t>年度本年支出决算合计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2304.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pacing w:val="3"/>
          <w:sz w:val="31"/>
          <w:szCs w:val="31"/>
        </w:rPr>
        <w:t>元，其中：</w:t>
      </w:r>
    </w:p>
    <w:p w14:paraId="1B8AD113">
      <w:pPr>
        <w:spacing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本年基本支出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730.91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31.71%</w:t>
      </w:r>
      <w:r>
        <w:rPr>
          <w:rFonts w:ascii="仿宋" w:hAnsi="仿宋" w:eastAsia="仿宋" w:cs="仿宋"/>
          <w:sz w:val="31"/>
          <w:szCs w:val="31"/>
        </w:rPr>
        <w:t>；</w:t>
      </w:r>
    </w:p>
    <w:p w14:paraId="0F60F50D">
      <w:pPr>
        <w:spacing w:before="186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本年项目支出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1573.96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68.29%</w:t>
      </w:r>
      <w:r>
        <w:rPr>
          <w:rFonts w:ascii="仿宋" w:hAnsi="仿宋" w:eastAsia="仿宋" w:cs="仿宋"/>
          <w:spacing w:val="-1"/>
          <w:sz w:val="31"/>
          <w:szCs w:val="31"/>
        </w:rPr>
        <w:t>；</w:t>
      </w:r>
    </w:p>
    <w:p w14:paraId="0401BF62">
      <w:pPr>
        <w:spacing w:before="187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本年上缴上级支出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0%</w:t>
      </w:r>
      <w:r>
        <w:rPr>
          <w:rFonts w:ascii="仿宋" w:hAnsi="仿宋" w:eastAsia="仿宋" w:cs="仿宋"/>
          <w:spacing w:val="-1"/>
          <w:sz w:val="31"/>
          <w:szCs w:val="31"/>
        </w:rPr>
        <w:t>；</w:t>
      </w:r>
    </w:p>
    <w:p w14:paraId="62769F4C">
      <w:pPr>
        <w:spacing w:before="188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本年经营支出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0%</w:t>
      </w:r>
      <w:r>
        <w:rPr>
          <w:rFonts w:ascii="仿宋" w:hAnsi="仿宋" w:eastAsia="仿宋" w:cs="仿宋"/>
          <w:spacing w:val="-2"/>
          <w:sz w:val="31"/>
          <w:szCs w:val="31"/>
        </w:rPr>
        <w:t>；</w:t>
      </w:r>
    </w:p>
    <w:p w14:paraId="4CD81BB4">
      <w:pPr>
        <w:spacing w:before="186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本年对附属单位补助支出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0%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 w14:paraId="45619E77">
      <w:pPr>
        <w:pStyle w:val="2"/>
        <w:spacing w:line="299" w:lineRule="auto"/>
      </w:pPr>
    </w:p>
    <w:p w14:paraId="6A8BBBE2">
      <w:pPr>
        <w:spacing w:before="1" w:line="3744" w:lineRule="exact"/>
        <w:ind w:firstLine="1152"/>
      </w:pPr>
      <w:r>
        <w:rPr>
          <w:position w:val="-74"/>
        </w:rPr>
        <w:drawing>
          <wp:inline distT="0" distB="0" distL="0" distR="0">
            <wp:extent cx="3801745" cy="23774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02379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5ECE8">
      <w:pPr>
        <w:spacing w:before="63" w:line="222" w:lineRule="auto"/>
        <w:ind w:left="33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图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2.</w:t>
      </w:r>
      <w:r>
        <w:rPr>
          <w:rFonts w:ascii="仿宋" w:hAnsi="仿宋" w:eastAsia="仿宋" w:cs="仿宋"/>
          <w:spacing w:val="1"/>
          <w:sz w:val="31"/>
          <w:szCs w:val="31"/>
        </w:rPr>
        <w:t>支出决算图</w:t>
      </w:r>
    </w:p>
    <w:p w14:paraId="463EBB83">
      <w:pPr>
        <w:pStyle w:val="2"/>
        <w:spacing w:line="321" w:lineRule="auto"/>
      </w:pPr>
    </w:p>
    <w:p w14:paraId="7A0BD172">
      <w:pPr>
        <w:pStyle w:val="2"/>
        <w:spacing w:line="321" w:lineRule="auto"/>
      </w:pPr>
    </w:p>
    <w:p w14:paraId="11DD94DC">
      <w:pPr>
        <w:spacing w:before="101" w:line="222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四、财政拨款收入支出决算总体情况说明</w:t>
      </w:r>
    </w:p>
    <w:p w14:paraId="13CF5360">
      <w:pPr>
        <w:spacing w:before="188" w:line="334" w:lineRule="auto"/>
        <w:ind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杭锦旗人民检察院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8"/>
          <w:sz w:val="31"/>
          <w:szCs w:val="31"/>
        </w:rPr>
        <w:t>年度财政拨款收入、支出决算</w:t>
      </w:r>
      <w:r>
        <w:rPr>
          <w:rFonts w:ascii="仿宋" w:hAnsi="仿宋" w:eastAsia="仿宋" w:cs="仿宋"/>
          <w:spacing w:val="7"/>
          <w:sz w:val="31"/>
          <w:szCs w:val="31"/>
        </w:rPr>
        <w:t>总计</w:t>
      </w:r>
      <w:r>
        <w:rPr>
          <w:rFonts w:ascii="仿宋" w:hAnsi="仿宋" w:eastAsia="仿宋" w:cs="仿宋"/>
          <w:spacing w:val="5"/>
          <w:sz w:val="31"/>
          <w:szCs w:val="31"/>
        </w:rPr>
        <w:t>均为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1057.72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万元，与年初预算相比，收、支总计各减少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45.85</w:t>
      </w:r>
      <w:r>
        <w:rPr>
          <w:rFonts w:ascii="仿宋" w:hAnsi="仿宋" w:eastAsia="仿宋" w:cs="仿宋"/>
          <w:spacing w:val="-1"/>
          <w:sz w:val="31"/>
          <w:szCs w:val="31"/>
        </w:rPr>
        <w:t>万元，下降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16%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，变动原因：一是追加预算共计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50.8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万元，包</w:t>
      </w:r>
      <w:r>
        <w:rPr>
          <w:rFonts w:ascii="仿宋" w:hAnsi="仿宋" w:eastAsia="仿宋" w:cs="仿宋"/>
          <w:spacing w:val="-5"/>
          <w:sz w:val="31"/>
          <w:szCs w:val="31"/>
        </w:rPr>
        <w:t>括：办案（业务）经费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万元，妇女卫生费（福利费）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0.8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万元。</w:t>
      </w:r>
    </w:p>
    <w:p w14:paraId="664D075F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384" w:bottom="1091" w:left="1602" w:header="0" w:footer="929" w:gutter="0"/>
          <w:cols w:space="720" w:num="1"/>
        </w:sectPr>
      </w:pPr>
    </w:p>
    <w:p w14:paraId="155E1BDC">
      <w:pPr>
        <w:pStyle w:val="2"/>
        <w:spacing w:line="246" w:lineRule="auto"/>
      </w:pPr>
    </w:p>
    <w:p w14:paraId="3F32E796">
      <w:pPr>
        <w:pStyle w:val="2"/>
        <w:spacing w:line="247" w:lineRule="auto"/>
      </w:pPr>
    </w:p>
    <w:p w14:paraId="75E0F725">
      <w:pPr>
        <w:pStyle w:val="2"/>
        <w:spacing w:line="247" w:lineRule="auto"/>
      </w:pPr>
    </w:p>
    <w:p w14:paraId="3B8E83A5">
      <w:pPr>
        <w:spacing w:before="101" w:line="333" w:lineRule="auto"/>
        <w:ind w:right="89" w:firstLine="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二是年末收回预算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96.65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万元；与上年决算相比，收、支总计各</w:t>
      </w:r>
      <w:r>
        <w:rPr>
          <w:rFonts w:ascii="仿宋" w:hAnsi="仿宋" w:eastAsia="仿宋" w:cs="仿宋"/>
          <w:spacing w:val="2"/>
          <w:sz w:val="31"/>
          <w:szCs w:val="31"/>
        </w:rPr>
        <w:t>减少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271.09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万元，下降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20.40%</w:t>
      </w:r>
      <w:r>
        <w:rPr>
          <w:rFonts w:ascii="仿宋" w:hAnsi="仿宋" w:eastAsia="仿宋" w:cs="仿宋"/>
          <w:spacing w:val="2"/>
          <w:sz w:val="31"/>
          <w:szCs w:val="31"/>
        </w:rPr>
        <w:t>，变动原因是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1"/>
          <w:sz w:val="31"/>
          <w:szCs w:val="31"/>
        </w:rPr>
        <w:t>年财政厅从我</w:t>
      </w:r>
      <w:r>
        <w:rPr>
          <w:rFonts w:ascii="仿宋" w:hAnsi="仿宋" w:eastAsia="仿宋" w:cs="仿宋"/>
          <w:spacing w:val="8"/>
          <w:sz w:val="31"/>
          <w:szCs w:val="31"/>
        </w:rPr>
        <w:t>院办案业务费预算中扣减退回地方的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18 </w:t>
      </w:r>
      <w:r>
        <w:rPr>
          <w:rFonts w:ascii="仿宋" w:hAnsi="仿宋" w:eastAsia="仿宋" w:cs="仿宋"/>
          <w:spacing w:val="8"/>
          <w:sz w:val="31"/>
          <w:szCs w:val="31"/>
        </w:rPr>
        <w:t>名财政供</w:t>
      </w:r>
      <w:r>
        <w:rPr>
          <w:rFonts w:ascii="仿宋" w:hAnsi="仿宋" w:eastAsia="仿宋" w:cs="仿宋"/>
          <w:spacing w:val="7"/>
          <w:sz w:val="31"/>
          <w:szCs w:val="31"/>
        </w:rPr>
        <w:t>养人员劳务费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210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 w14:paraId="73092F7E">
      <w:pPr>
        <w:spacing w:line="222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 w14:paraId="0DB3C023">
      <w:pPr>
        <w:spacing w:before="188" w:line="333" w:lineRule="auto"/>
        <w:ind w:left="15" w:right="89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杭锦旗人民检察院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年度一般公共预算财政拨款支出决</w:t>
      </w:r>
      <w:r>
        <w:rPr>
          <w:rFonts w:ascii="仿宋" w:hAnsi="仿宋" w:eastAsia="仿宋" w:cs="仿宋"/>
          <w:spacing w:val="2"/>
          <w:sz w:val="31"/>
          <w:szCs w:val="31"/>
        </w:rPr>
        <w:t>算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1057.72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万元。与年初预算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1103.57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万元相比，完成年初预算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95.84%</w:t>
      </w:r>
      <w:r>
        <w:rPr>
          <w:rFonts w:ascii="仿宋" w:hAnsi="仿宋" w:eastAsia="仿宋" w:cs="仿宋"/>
          <w:spacing w:val="4"/>
          <w:sz w:val="31"/>
          <w:szCs w:val="31"/>
        </w:rPr>
        <w:t>。其中：</w:t>
      </w:r>
    </w:p>
    <w:p w14:paraId="379AE6E0">
      <w:pPr>
        <w:spacing w:line="228" w:lineRule="auto"/>
        <w:ind w:left="4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（一）公共安全（类）</w:t>
      </w:r>
    </w:p>
    <w:p w14:paraId="1D94D39C">
      <w:pPr>
        <w:spacing w:before="178" w:line="333" w:lineRule="auto"/>
        <w:ind w:left="5" w:right="9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公共安全类决算数为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945.17</w:t>
      </w:r>
      <w:r>
        <w:rPr>
          <w:rFonts w:ascii="Times New Roman" w:hAnsi="Times New Roman" w:eastAsia="Times New Roman" w:cs="Times New Roman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万元，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与年初预算相比减少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7.56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万元。其中：</w:t>
      </w:r>
    </w:p>
    <w:p w14:paraId="216A986D">
      <w:pPr>
        <w:spacing w:before="5" w:line="311" w:lineRule="auto"/>
        <w:ind w:left="3" w:right="89" w:firstLine="77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仿宋" w:hAnsi="仿宋" w:eastAsia="仿宋" w:cs="仿宋"/>
          <w:spacing w:val="2"/>
          <w:sz w:val="31"/>
          <w:szCs w:val="31"/>
        </w:rPr>
        <w:t>检察（款）行政运行（项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）。年初预算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612.73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万元，支</w:t>
      </w:r>
      <w:r>
        <w:rPr>
          <w:rFonts w:ascii="仿宋" w:hAnsi="仿宋" w:eastAsia="仿宋" w:cs="仿宋"/>
          <w:spacing w:val="6"/>
          <w:sz w:val="31"/>
          <w:szCs w:val="31"/>
        </w:rPr>
        <w:t>出决算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555.22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万元，完成年初预算的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90.61%</w:t>
      </w:r>
      <w:r>
        <w:rPr>
          <w:rFonts w:ascii="仿宋" w:hAnsi="仿宋" w:eastAsia="仿宋" w:cs="仿宋"/>
          <w:spacing w:val="6"/>
          <w:sz w:val="31"/>
          <w:szCs w:val="31"/>
        </w:rPr>
        <w:t>。决算数与</w:t>
      </w:r>
      <w:r>
        <w:rPr>
          <w:rFonts w:ascii="仿宋" w:hAnsi="仿宋" w:eastAsia="仿宋" w:cs="仿宋"/>
          <w:spacing w:val="5"/>
          <w:sz w:val="31"/>
          <w:szCs w:val="31"/>
        </w:rPr>
        <w:t>年初预算数的差异原因是年初和年中我院退休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5"/>
          <w:sz w:val="31"/>
          <w:szCs w:val="31"/>
        </w:rPr>
        <w:t>人，</w:t>
      </w:r>
      <w:r>
        <w:rPr>
          <w:rFonts w:ascii="仿宋" w:hAnsi="仿宋" w:eastAsia="仿宋" w:cs="仿宋"/>
          <w:spacing w:val="4"/>
          <w:sz w:val="31"/>
          <w:szCs w:val="31"/>
        </w:rPr>
        <w:t>而新招录和调入人</w:t>
      </w:r>
      <w:r>
        <w:rPr>
          <w:rFonts w:ascii="仿宋" w:hAnsi="仿宋" w:eastAsia="仿宋" w:cs="仿宋"/>
          <w:spacing w:val="5"/>
          <w:sz w:val="31"/>
          <w:szCs w:val="31"/>
        </w:rPr>
        <w:t>员均年中和年末入职，人员经费支出减少，相应行政运行项有所</w:t>
      </w:r>
      <w:r>
        <w:rPr>
          <w:rFonts w:ascii="仿宋" w:hAnsi="仿宋" w:eastAsia="仿宋" w:cs="仿宋"/>
          <w:spacing w:val="2"/>
          <w:sz w:val="31"/>
          <w:szCs w:val="31"/>
        </w:rPr>
        <w:t>减少。</w:t>
      </w:r>
    </w:p>
    <w:p w14:paraId="4A315E46">
      <w:pPr>
        <w:spacing w:before="186" w:line="296" w:lineRule="auto"/>
        <w:ind w:left="13" w:firstLine="6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2.</w:t>
      </w:r>
      <w:r>
        <w:rPr>
          <w:rFonts w:ascii="仿宋" w:hAnsi="仿宋" w:eastAsia="仿宋" w:cs="仿宋"/>
          <w:spacing w:val="-2"/>
          <w:sz w:val="31"/>
          <w:szCs w:val="31"/>
        </w:rPr>
        <w:t>检察（款）一般行政管理事务（项）。年初预算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304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1"/>
          <w:sz w:val="31"/>
          <w:szCs w:val="31"/>
        </w:rPr>
        <w:t>决算支出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353.96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万元，完成年初预算的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116.43%</w:t>
      </w:r>
      <w:r>
        <w:rPr>
          <w:rFonts w:ascii="仿宋" w:hAnsi="仿宋" w:eastAsia="仿宋" w:cs="仿宋"/>
          <w:spacing w:val="1"/>
          <w:sz w:val="31"/>
          <w:szCs w:val="31"/>
        </w:rPr>
        <w:t>。决</w:t>
      </w:r>
      <w:r>
        <w:rPr>
          <w:rFonts w:ascii="仿宋" w:hAnsi="仿宋" w:eastAsia="仿宋" w:cs="仿宋"/>
          <w:sz w:val="31"/>
          <w:szCs w:val="31"/>
        </w:rPr>
        <w:t>算数与年初</w:t>
      </w:r>
      <w:r>
        <w:rPr>
          <w:rFonts w:ascii="仿宋" w:hAnsi="仿宋" w:eastAsia="仿宋" w:cs="仿宋"/>
          <w:spacing w:val="-2"/>
          <w:sz w:val="31"/>
          <w:szCs w:val="31"/>
        </w:rPr>
        <w:t>预算数的差异原因：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年追加办案（业务）经费预</w:t>
      </w:r>
      <w:r>
        <w:rPr>
          <w:rFonts w:ascii="仿宋" w:hAnsi="仿宋" w:eastAsia="仿宋" w:cs="仿宋"/>
          <w:spacing w:val="-3"/>
          <w:sz w:val="31"/>
          <w:szCs w:val="31"/>
        </w:rPr>
        <w:t>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万元。</w:t>
      </w:r>
    </w:p>
    <w:p w14:paraId="108E02E8">
      <w:pPr>
        <w:spacing w:before="189" w:line="296" w:lineRule="auto"/>
        <w:ind w:left="6" w:right="91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其他公共安全支出（款）其他检察支出（项）。年初预算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36</w:t>
      </w:r>
      <w:r>
        <w:rPr>
          <w:rFonts w:ascii="Times New Roman" w:hAnsi="Times New Roman" w:eastAsia="Times New Roman" w:cs="Times New Roman"/>
          <w:spacing w:val="4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万元，决算支出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36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万元，完成年初预算的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100%</w:t>
      </w:r>
      <w:r>
        <w:rPr>
          <w:rFonts w:ascii="仿宋" w:hAnsi="仿宋" w:eastAsia="仿宋" w:cs="仿宋"/>
          <w:spacing w:val="7"/>
          <w:sz w:val="31"/>
          <w:szCs w:val="31"/>
        </w:rPr>
        <w:t>。决算数与</w:t>
      </w:r>
      <w:r>
        <w:rPr>
          <w:rFonts w:ascii="仿宋" w:hAnsi="仿宋" w:eastAsia="仿宋" w:cs="仿宋"/>
          <w:spacing w:val="8"/>
          <w:sz w:val="31"/>
          <w:szCs w:val="31"/>
        </w:rPr>
        <w:t>年初预算数的差异原因：无差异。</w:t>
      </w:r>
    </w:p>
    <w:p w14:paraId="35DBE101"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384" w:bottom="1091" w:left="1593" w:header="0" w:footer="929" w:gutter="0"/>
          <w:cols w:space="720" w:num="1"/>
        </w:sectPr>
      </w:pPr>
    </w:p>
    <w:p w14:paraId="52E82E6B">
      <w:pPr>
        <w:pStyle w:val="2"/>
        <w:spacing w:line="246" w:lineRule="auto"/>
      </w:pPr>
    </w:p>
    <w:p w14:paraId="3A8F6F7F">
      <w:pPr>
        <w:pStyle w:val="2"/>
        <w:spacing w:line="246" w:lineRule="auto"/>
      </w:pPr>
    </w:p>
    <w:p w14:paraId="3165743B">
      <w:pPr>
        <w:pStyle w:val="2"/>
        <w:spacing w:line="246" w:lineRule="auto"/>
      </w:pPr>
    </w:p>
    <w:p w14:paraId="1B7EC756">
      <w:pPr>
        <w:spacing w:before="101" w:line="223" w:lineRule="auto"/>
        <w:ind w:left="41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7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二）社会保障和就业支出（类）</w:t>
      </w:r>
    </w:p>
    <w:p w14:paraId="5C51EB14">
      <w:pPr>
        <w:spacing w:before="183" w:line="334" w:lineRule="auto"/>
        <w:ind w:left="15" w:right="244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社会保障和就业支出（类）决算数为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54.40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万元，与年初预</w:t>
      </w:r>
      <w:r>
        <w:rPr>
          <w:rFonts w:ascii="仿宋" w:hAnsi="仿宋" w:eastAsia="仿宋" w:cs="仿宋"/>
          <w:spacing w:val="3"/>
          <w:sz w:val="31"/>
          <w:szCs w:val="31"/>
        </w:rPr>
        <w:t>算相比减少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9.64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万元。其中：</w:t>
      </w:r>
    </w:p>
    <w:p w14:paraId="49414E6A">
      <w:pPr>
        <w:spacing w:before="1" w:line="277" w:lineRule="auto"/>
        <w:ind w:left="15" w:right="242" w:firstLine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行政事业单位养老支出（款）机关事业单位基</w:t>
      </w:r>
      <w:r>
        <w:rPr>
          <w:rFonts w:ascii="仿宋" w:hAnsi="仿宋" w:eastAsia="仿宋" w:cs="仿宋"/>
          <w:spacing w:val="6"/>
          <w:sz w:val="31"/>
          <w:szCs w:val="31"/>
        </w:rPr>
        <w:t>本养老保险</w:t>
      </w:r>
      <w:r>
        <w:rPr>
          <w:rFonts w:ascii="仿宋" w:hAnsi="仿宋" w:eastAsia="仿宋" w:cs="仿宋"/>
          <w:spacing w:val="2"/>
          <w:sz w:val="31"/>
          <w:szCs w:val="31"/>
        </w:rPr>
        <w:t>缴费支出（项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）。年初预算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42.69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36.2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</w:p>
    <w:p w14:paraId="783353D1">
      <w:pPr>
        <w:spacing w:before="187" w:line="296" w:lineRule="auto"/>
        <w:ind w:left="5" w:firstLine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完成年初预算的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84.96%</w:t>
      </w:r>
      <w:r>
        <w:rPr>
          <w:rFonts w:ascii="仿宋" w:hAnsi="仿宋" w:eastAsia="仿宋" w:cs="仿宋"/>
          <w:spacing w:val="7"/>
          <w:sz w:val="31"/>
          <w:szCs w:val="31"/>
        </w:rPr>
        <w:t>。决算数与年初预算数的差异原因：年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初和年中我院退休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sz w:val="31"/>
          <w:szCs w:val="31"/>
        </w:rPr>
        <w:t>人，而新招录和调入人员均年中和年末入职，</w:t>
      </w:r>
      <w:r>
        <w:rPr>
          <w:rFonts w:ascii="仿宋" w:hAnsi="仿宋" w:eastAsia="仿宋" w:cs="仿宋"/>
          <w:spacing w:val="8"/>
          <w:sz w:val="31"/>
          <w:szCs w:val="31"/>
        </w:rPr>
        <w:t>人员经费支出减少，养老保险缴纳相应减少。</w:t>
      </w:r>
    </w:p>
    <w:p w14:paraId="5C33C504">
      <w:pPr>
        <w:spacing w:before="190" w:line="311" w:lineRule="auto"/>
        <w:ind w:left="9" w:right="242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.行政事业单位养老支出（款）机关事业单位职业年金缴费</w:t>
      </w:r>
      <w:r>
        <w:rPr>
          <w:rFonts w:ascii="仿宋" w:hAnsi="仿宋" w:eastAsia="仿宋" w:cs="仿宋"/>
          <w:spacing w:val="4"/>
          <w:sz w:val="31"/>
          <w:szCs w:val="31"/>
        </w:rPr>
        <w:t>支出（项）。年初预算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21.35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18.13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万元，完成</w:t>
      </w:r>
      <w:r>
        <w:rPr>
          <w:rFonts w:ascii="仿宋" w:hAnsi="仿宋" w:eastAsia="仿宋" w:cs="仿宋"/>
          <w:spacing w:val="8"/>
          <w:sz w:val="31"/>
          <w:szCs w:val="31"/>
        </w:rPr>
        <w:t>年初预算的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84.92%</w:t>
      </w:r>
      <w:r>
        <w:rPr>
          <w:rFonts w:ascii="仿宋" w:hAnsi="仿宋" w:eastAsia="仿宋" w:cs="仿宋"/>
          <w:spacing w:val="8"/>
          <w:sz w:val="31"/>
          <w:szCs w:val="31"/>
        </w:rPr>
        <w:t>。决算数与年初预算数</w:t>
      </w:r>
      <w:r>
        <w:rPr>
          <w:rFonts w:ascii="仿宋" w:hAnsi="仿宋" w:eastAsia="仿宋" w:cs="仿宋"/>
          <w:spacing w:val="7"/>
          <w:sz w:val="31"/>
          <w:szCs w:val="31"/>
        </w:rPr>
        <w:t>的差异原因：年初和</w:t>
      </w:r>
      <w:r>
        <w:rPr>
          <w:rFonts w:ascii="仿宋" w:hAnsi="仿宋" w:eastAsia="仿宋" w:cs="仿宋"/>
          <w:spacing w:val="4"/>
          <w:sz w:val="31"/>
          <w:szCs w:val="31"/>
        </w:rPr>
        <w:t>年中我院退休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4"/>
          <w:sz w:val="31"/>
          <w:szCs w:val="31"/>
        </w:rPr>
        <w:t>人，而新招录和调入人员均年中和年末入职，人</w:t>
      </w:r>
      <w:r>
        <w:rPr>
          <w:rFonts w:ascii="仿宋" w:hAnsi="仿宋" w:eastAsia="仿宋" w:cs="仿宋"/>
          <w:spacing w:val="8"/>
          <w:sz w:val="31"/>
          <w:szCs w:val="31"/>
        </w:rPr>
        <w:t>员经费支出减少，职业年金缴纳相应减少。</w:t>
      </w:r>
    </w:p>
    <w:p w14:paraId="1055E881">
      <w:pPr>
        <w:spacing w:before="187" w:line="224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三）卫生健康支出（类）</w:t>
      </w:r>
    </w:p>
    <w:p w14:paraId="63852565">
      <w:pPr>
        <w:spacing w:before="182" w:line="334" w:lineRule="auto"/>
        <w:ind w:left="3" w:right="244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卫生健康支出（类）决算数为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15.54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万元，与年初预算相比</w:t>
      </w:r>
      <w:r>
        <w:rPr>
          <w:rFonts w:ascii="仿宋" w:hAnsi="仿宋" w:eastAsia="仿宋" w:cs="仿宋"/>
          <w:sz w:val="31"/>
          <w:szCs w:val="31"/>
        </w:rPr>
        <w:t>减少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17.51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万元。其中：</w:t>
      </w:r>
    </w:p>
    <w:p w14:paraId="094CCF4E">
      <w:pPr>
        <w:spacing w:before="1" w:line="334" w:lineRule="auto"/>
        <w:ind w:right="242" w:firstLine="72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</w:t>
      </w:r>
      <w:r>
        <w:rPr>
          <w:rFonts w:ascii="仿宋" w:hAnsi="仿宋" w:eastAsia="仿宋" w:cs="仿宋"/>
          <w:spacing w:val="4"/>
          <w:sz w:val="31"/>
          <w:szCs w:val="31"/>
        </w:rPr>
        <w:t>行政事业单位医疗（款）行政单位医疗（项）。年初预算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21.44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15.54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万元，完成年初预算的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72.48%</w:t>
      </w:r>
      <w:r>
        <w:rPr>
          <w:rFonts w:ascii="仿宋" w:hAnsi="仿宋" w:eastAsia="仿宋" w:cs="仿宋"/>
          <w:spacing w:val="4"/>
          <w:sz w:val="31"/>
          <w:szCs w:val="31"/>
        </w:rPr>
        <w:t>。决</w:t>
      </w:r>
      <w:r>
        <w:rPr>
          <w:rFonts w:ascii="仿宋" w:hAnsi="仿宋" w:eastAsia="仿宋" w:cs="仿宋"/>
          <w:spacing w:val="5"/>
          <w:sz w:val="31"/>
          <w:szCs w:val="31"/>
        </w:rPr>
        <w:t>算数与年初预算数的差异原因：一是年初预算测算的金额考虑到了人员工资上涨。二是年初和年中我院退休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5"/>
          <w:sz w:val="31"/>
          <w:szCs w:val="31"/>
        </w:rPr>
        <w:t>人，而</w:t>
      </w:r>
      <w:r>
        <w:rPr>
          <w:rFonts w:ascii="仿宋" w:hAnsi="仿宋" w:eastAsia="仿宋" w:cs="仿宋"/>
          <w:spacing w:val="4"/>
          <w:sz w:val="31"/>
          <w:szCs w:val="31"/>
        </w:rPr>
        <w:t>新招录和调</w:t>
      </w:r>
      <w:r>
        <w:rPr>
          <w:rFonts w:ascii="仿宋" w:hAnsi="仿宋" w:eastAsia="仿宋" w:cs="仿宋"/>
          <w:spacing w:val="5"/>
          <w:sz w:val="31"/>
          <w:szCs w:val="31"/>
        </w:rPr>
        <w:t>入人员均年中和年末入职，人员经费支出减少，医疗保险缴纳相应减少。</w:t>
      </w:r>
    </w:p>
    <w:p w14:paraId="75F54D18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231" w:bottom="1091" w:left="1593" w:header="0" w:footer="929" w:gutter="0"/>
          <w:cols w:space="720" w:num="1"/>
        </w:sectPr>
      </w:pPr>
    </w:p>
    <w:p w14:paraId="53A01CA2">
      <w:pPr>
        <w:pStyle w:val="2"/>
        <w:spacing w:line="246" w:lineRule="auto"/>
      </w:pPr>
    </w:p>
    <w:p w14:paraId="5B6102A5">
      <w:pPr>
        <w:pStyle w:val="2"/>
        <w:spacing w:line="246" w:lineRule="auto"/>
      </w:pPr>
    </w:p>
    <w:p w14:paraId="0416C5BC">
      <w:pPr>
        <w:pStyle w:val="2"/>
        <w:spacing w:line="246" w:lineRule="auto"/>
      </w:pPr>
    </w:p>
    <w:p w14:paraId="221F80B1">
      <w:pPr>
        <w:spacing w:before="101" w:line="223" w:lineRule="auto"/>
        <w:ind w:left="47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四）住房保障支出（类）</w:t>
      </w:r>
    </w:p>
    <w:p w14:paraId="619C5127">
      <w:pPr>
        <w:spacing w:before="183" w:line="334" w:lineRule="auto"/>
        <w:ind w:left="1" w:right="9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住房保障支出（类）决算数为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42.60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万元，与年初预算相比</w:t>
      </w:r>
      <w:r>
        <w:rPr>
          <w:rFonts w:ascii="仿宋" w:hAnsi="仿宋" w:eastAsia="仿宋" w:cs="仿宋"/>
          <w:sz w:val="31"/>
          <w:szCs w:val="31"/>
        </w:rPr>
        <w:t>减少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11.15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万元。其中：</w:t>
      </w:r>
    </w:p>
    <w:p w14:paraId="61BEA5F8">
      <w:pPr>
        <w:spacing w:before="2" w:line="333" w:lineRule="auto"/>
        <w:ind w:right="95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住房改革支出（款）住房公积金（项）。年初预算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53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.75</w:t>
      </w:r>
      <w:r>
        <w:rPr>
          <w:rFonts w:ascii="仿宋" w:hAnsi="仿宋" w:eastAsia="仿宋" w:cs="仿宋"/>
          <w:spacing w:val="2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42.60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万元，完成年初预算的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79.26%</w:t>
      </w:r>
      <w:r>
        <w:rPr>
          <w:rFonts w:ascii="仿宋" w:hAnsi="仿宋" w:eastAsia="仿宋" w:cs="仿宋"/>
          <w:spacing w:val="2"/>
          <w:sz w:val="31"/>
          <w:szCs w:val="31"/>
        </w:rPr>
        <w:t>。决算数与</w:t>
      </w:r>
      <w:r>
        <w:rPr>
          <w:rFonts w:ascii="仿宋" w:hAnsi="仿宋" w:eastAsia="仿宋" w:cs="仿宋"/>
          <w:spacing w:val="5"/>
          <w:sz w:val="31"/>
          <w:szCs w:val="31"/>
        </w:rPr>
        <w:t>年初预算数的差异原因：年初和年中我院退休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5"/>
          <w:sz w:val="31"/>
          <w:szCs w:val="31"/>
        </w:rPr>
        <w:t>人</w:t>
      </w:r>
      <w:r>
        <w:rPr>
          <w:rFonts w:ascii="仿宋" w:hAnsi="仿宋" w:eastAsia="仿宋" w:cs="仿宋"/>
          <w:spacing w:val="4"/>
          <w:sz w:val="31"/>
          <w:szCs w:val="31"/>
        </w:rPr>
        <w:t>，而新招录和</w:t>
      </w:r>
      <w:r>
        <w:rPr>
          <w:rFonts w:ascii="仿宋" w:hAnsi="仿宋" w:eastAsia="仿宋" w:cs="仿宋"/>
          <w:spacing w:val="5"/>
          <w:sz w:val="31"/>
          <w:szCs w:val="31"/>
        </w:rPr>
        <w:t>调入人员均年中和年末入职，人员经费支出减少，住房保障支出</w:t>
      </w:r>
      <w:r>
        <w:rPr>
          <w:rFonts w:ascii="仿宋" w:hAnsi="仿宋" w:eastAsia="仿宋" w:cs="仿宋"/>
          <w:spacing w:val="6"/>
          <w:sz w:val="31"/>
          <w:szCs w:val="31"/>
        </w:rPr>
        <w:t>相应减少。</w:t>
      </w:r>
    </w:p>
    <w:p w14:paraId="32C6745E">
      <w:pPr>
        <w:spacing w:line="222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六、一般公共预算财政拨款基本支出决算情况说明</w:t>
      </w:r>
    </w:p>
    <w:p w14:paraId="6ABE217A">
      <w:pPr>
        <w:spacing w:before="188" w:line="333" w:lineRule="auto"/>
        <w:ind w:left="44" w:right="97" w:firstLine="4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 xml:space="preserve">杭锦旗人民检察院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年度一般公共预算财政拨款基本支</w:t>
      </w:r>
      <w:r>
        <w:rPr>
          <w:rFonts w:ascii="仿宋" w:hAnsi="仿宋" w:eastAsia="仿宋" w:cs="仿宋"/>
          <w:sz w:val="31"/>
          <w:szCs w:val="31"/>
        </w:rPr>
        <w:t>出决算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667.76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万元，其中：</w:t>
      </w:r>
    </w:p>
    <w:p w14:paraId="30CA1322">
      <w:pPr>
        <w:spacing w:before="3" w:line="311" w:lineRule="auto"/>
        <w:ind w:left="6" w:right="95" w:firstLine="63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一）人员经费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604.66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万元。</w:t>
      </w:r>
      <w:r>
        <w:rPr>
          <w:rFonts w:ascii="楷体" w:hAnsi="楷体" w:eastAsia="楷体" w:cs="楷体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主要包括：基本工</w:t>
      </w:r>
      <w:r>
        <w:rPr>
          <w:rFonts w:ascii="仿宋" w:hAnsi="仿宋" w:eastAsia="仿宋" w:cs="仿宋"/>
          <w:spacing w:val="3"/>
          <w:sz w:val="31"/>
          <w:szCs w:val="31"/>
        </w:rPr>
        <w:t>资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110.95</w:t>
      </w:r>
      <w:r>
        <w:rPr>
          <w:rFonts w:ascii="仿宋" w:hAnsi="仿宋" w:eastAsia="仿宋" w:cs="仿宋"/>
          <w:spacing w:val="2"/>
          <w:sz w:val="31"/>
          <w:szCs w:val="31"/>
        </w:rPr>
        <w:t>万元、津贴补贴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236.44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万元、奖金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26.82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元、机关事业单位基本</w:t>
      </w:r>
      <w:r>
        <w:rPr>
          <w:rFonts w:ascii="仿宋" w:hAnsi="仿宋" w:eastAsia="仿宋" w:cs="仿宋"/>
          <w:spacing w:val="5"/>
          <w:sz w:val="31"/>
          <w:szCs w:val="31"/>
        </w:rPr>
        <w:t>养老保险缴费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36.27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万元、职业年金缴费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18.13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万元、职工基本</w:t>
      </w:r>
      <w:r>
        <w:rPr>
          <w:rFonts w:ascii="仿宋" w:hAnsi="仿宋" w:eastAsia="仿宋" w:cs="仿宋"/>
          <w:sz w:val="31"/>
          <w:szCs w:val="31"/>
        </w:rPr>
        <w:t>医疗保险缴费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14.98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万元、其他社会保障经费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1.02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万元、住房公</w:t>
      </w:r>
      <w:r>
        <w:rPr>
          <w:rFonts w:ascii="仿宋" w:hAnsi="仿宋" w:eastAsia="仿宋" w:cs="仿宋"/>
          <w:spacing w:val="2"/>
          <w:sz w:val="31"/>
          <w:szCs w:val="31"/>
        </w:rPr>
        <w:t>积金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42.60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万元、其他工资福利支出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117.45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 w14:paraId="007C31DC">
      <w:pPr>
        <w:spacing w:before="187" w:line="311" w:lineRule="auto"/>
        <w:ind w:left="3" w:firstLine="63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二）公用经费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63.11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万元。</w:t>
      </w:r>
      <w:r>
        <w:rPr>
          <w:rFonts w:ascii="仿宋" w:hAnsi="仿宋" w:eastAsia="仿宋" w:cs="仿宋"/>
          <w:spacing w:val="2"/>
          <w:sz w:val="31"/>
          <w:szCs w:val="31"/>
        </w:rPr>
        <w:t>主要包括：办公费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6.79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万元、</w:t>
      </w:r>
      <w:r>
        <w:rPr>
          <w:rFonts w:ascii="仿宋" w:hAnsi="仿宋" w:eastAsia="仿宋" w:cs="仿宋"/>
          <w:spacing w:val="-9"/>
          <w:sz w:val="31"/>
          <w:szCs w:val="31"/>
        </w:rPr>
        <w:t>手续费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0.01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万元、水费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1.50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万元、电费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万元、差旅费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万元、</w:t>
      </w:r>
      <w:r>
        <w:rPr>
          <w:rFonts w:ascii="仿宋" w:hAnsi="仿宋" w:eastAsia="仿宋" w:cs="仿宋"/>
          <w:spacing w:val="-1"/>
          <w:sz w:val="31"/>
          <w:szCs w:val="31"/>
        </w:rPr>
        <w:t>培训费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万元、公务接待费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1.70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万元、委托业务费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万元、工</w:t>
      </w:r>
      <w:r>
        <w:rPr>
          <w:rFonts w:ascii="仿宋" w:hAnsi="仿宋" w:eastAsia="仿宋" w:cs="仿宋"/>
          <w:sz w:val="31"/>
          <w:szCs w:val="31"/>
        </w:rPr>
        <w:t>会经费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6.75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万元、福利费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9.24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万元、其他交通费用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17.12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万元、</w:t>
      </w:r>
      <w:r>
        <w:rPr>
          <w:rFonts w:ascii="仿宋" w:hAnsi="仿宋" w:eastAsia="仿宋" w:cs="仿宋"/>
          <w:spacing w:val="2"/>
          <w:sz w:val="31"/>
          <w:szCs w:val="31"/>
        </w:rPr>
        <w:t>其他商品和服务支出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1.50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 w14:paraId="0280EC59">
      <w:pPr>
        <w:spacing w:line="311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431" w:right="1378" w:bottom="1091" w:left="1595" w:header="0" w:footer="929" w:gutter="0"/>
          <w:cols w:space="720" w:num="1"/>
        </w:sectPr>
      </w:pPr>
    </w:p>
    <w:p w14:paraId="331704C8">
      <w:pPr>
        <w:pStyle w:val="2"/>
        <w:spacing w:line="246" w:lineRule="auto"/>
      </w:pPr>
    </w:p>
    <w:p w14:paraId="6CCF2E82">
      <w:pPr>
        <w:pStyle w:val="2"/>
        <w:spacing w:line="246" w:lineRule="auto"/>
      </w:pPr>
    </w:p>
    <w:p w14:paraId="4DD8AB96">
      <w:pPr>
        <w:pStyle w:val="2"/>
        <w:spacing w:line="246" w:lineRule="auto"/>
      </w:pPr>
    </w:p>
    <w:p w14:paraId="04728DAB">
      <w:pPr>
        <w:spacing w:before="101" w:line="222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七、一般公共预算财政拨款项目支出决算情</w:t>
      </w:r>
      <w:r>
        <w:rPr>
          <w:rFonts w:ascii="黑体" w:hAnsi="黑体" w:eastAsia="黑体" w:cs="黑体"/>
          <w:spacing w:val="8"/>
          <w:sz w:val="31"/>
          <w:szCs w:val="31"/>
        </w:rPr>
        <w:t>况说明</w:t>
      </w:r>
    </w:p>
    <w:p w14:paraId="105A17B5">
      <w:pPr>
        <w:spacing w:before="184" w:line="334" w:lineRule="auto"/>
        <w:ind w:left="40" w:right="244" w:firstLine="6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杭锦旗人民检察院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年度一般公共预算财政拨款项目支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出决算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389.96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万元，其中：</w:t>
      </w:r>
    </w:p>
    <w:p w14:paraId="367DC1D6">
      <w:pPr>
        <w:spacing w:before="5" w:line="310" w:lineRule="auto"/>
        <w:ind w:left="9" w:right="243" w:firstLine="62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 xml:space="preserve">（一）商品和服务支出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353.96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万元。</w:t>
      </w:r>
      <w:r>
        <w:rPr>
          <w:rFonts w:ascii="仿宋" w:hAnsi="仿宋" w:eastAsia="仿宋" w:cs="仿宋"/>
          <w:spacing w:val="-6"/>
          <w:sz w:val="31"/>
          <w:szCs w:val="31"/>
        </w:rPr>
        <w:t>主要包</w:t>
      </w:r>
      <w:r>
        <w:rPr>
          <w:rFonts w:ascii="仿宋" w:hAnsi="仿宋" w:eastAsia="仿宋" w:cs="仿宋"/>
          <w:spacing w:val="-7"/>
          <w:sz w:val="31"/>
          <w:szCs w:val="31"/>
        </w:rPr>
        <w:t>括：办公费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45.63</w:t>
      </w:r>
      <w:r>
        <w:rPr>
          <w:rFonts w:ascii="仿宋" w:hAnsi="仿宋" w:eastAsia="仿宋" w:cs="仿宋"/>
          <w:spacing w:val="2"/>
          <w:sz w:val="31"/>
          <w:szCs w:val="31"/>
        </w:rPr>
        <w:t>万元、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印刷费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万元、邮电费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0.80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万元、取暖费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25.84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万元、</w:t>
      </w:r>
      <w:r>
        <w:rPr>
          <w:rFonts w:ascii="仿宋" w:hAnsi="仿宋" w:eastAsia="仿宋" w:cs="仿宋"/>
          <w:sz w:val="31"/>
          <w:szCs w:val="31"/>
        </w:rPr>
        <w:t>物业管理费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万元、差旅费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72.07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万元、维修（护）费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41.96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</w:t>
      </w:r>
      <w:r>
        <w:rPr>
          <w:rFonts w:ascii="仿宋" w:hAnsi="仿宋" w:eastAsia="仿宋" w:cs="仿宋"/>
          <w:spacing w:val="6"/>
          <w:sz w:val="31"/>
          <w:szCs w:val="31"/>
        </w:rPr>
        <w:t>元、租赁费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3.50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万元、劳务费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5.97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万元、委托业务费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29.18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pacing w:val="4"/>
          <w:sz w:val="31"/>
          <w:szCs w:val="31"/>
        </w:rPr>
        <w:t>元、公务用车运行维护费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7C4B9A5D">
      <w:pPr>
        <w:spacing w:before="191" w:line="280" w:lineRule="auto"/>
        <w:ind w:right="244" w:firstLine="63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二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）资本性支出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36.00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万元。</w:t>
      </w:r>
      <w:r>
        <w:rPr>
          <w:rFonts w:ascii="楷体" w:hAnsi="楷体" w:eastAsia="楷体" w:cs="楷体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主要包括：办公设备购置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36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万元。</w:t>
      </w:r>
    </w:p>
    <w:p w14:paraId="38A97070">
      <w:pPr>
        <w:spacing w:before="180" w:line="222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八、财政拨款“三公</w:t>
      </w:r>
      <w:r>
        <w:rPr>
          <w:rFonts w:ascii="黑体" w:hAnsi="黑体" w:eastAsia="黑体" w:cs="黑体"/>
          <w:spacing w:val="-9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”经费支出决算情况说明</w:t>
      </w:r>
    </w:p>
    <w:p w14:paraId="5E7696BE">
      <w:pPr>
        <w:spacing w:before="185" w:line="222" w:lineRule="auto"/>
        <w:ind w:left="4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（一）财政拨款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“三公”经费支出总体情况</w:t>
      </w:r>
      <w:r>
        <w:rPr>
          <w:rFonts w:ascii="楷体" w:hAnsi="楷体" w:eastAsia="楷体" w:cs="楷体"/>
          <w:spacing w:val="6"/>
          <w:sz w:val="31"/>
          <w:szCs w:val="31"/>
        </w:rPr>
        <w:t>说明。</w:t>
      </w:r>
    </w:p>
    <w:p w14:paraId="5E0D68DA">
      <w:pPr>
        <w:spacing w:before="194" w:line="333" w:lineRule="auto"/>
        <w:ind w:left="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杭锦旗人民检察院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9"/>
          <w:sz w:val="31"/>
          <w:szCs w:val="31"/>
        </w:rPr>
        <w:t>年度财政拨款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三公”经费全年预</w:t>
      </w:r>
      <w:r>
        <w:rPr>
          <w:rFonts w:ascii="仿宋" w:hAnsi="仿宋" w:eastAsia="仿宋" w:cs="仿宋"/>
          <w:sz w:val="31"/>
          <w:szCs w:val="31"/>
        </w:rPr>
        <w:t xml:space="preserve">算 </w:t>
      </w:r>
      <w:r>
        <w:rPr>
          <w:rFonts w:ascii="Times New Roman" w:hAnsi="Times New Roman" w:eastAsia="Times New Roman" w:cs="Times New Roman"/>
          <w:sz w:val="31"/>
          <w:szCs w:val="31"/>
        </w:rPr>
        <w:t>26.70</w:t>
      </w:r>
      <w:r>
        <w:rPr>
          <w:rFonts w:ascii="Times New Roman" w:hAnsi="Times New Roman" w:eastAsia="Times New Roman" w:cs="Times New Roman"/>
          <w:spacing w:val="4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万元，支出决算 </w:t>
      </w:r>
      <w:r>
        <w:rPr>
          <w:rFonts w:ascii="Times New Roman" w:hAnsi="Times New Roman" w:eastAsia="Times New Roman" w:cs="Times New Roman"/>
          <w:sz w:val="31"/>
          <w:szCs w:val="31"/>
        </w:rPr>
        <w:t>26.70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100.00%</w:t>
      </w:r>
      <w:r>
        <w:rPr>
          <w:rFonts w:ascii="仿宋" w:hAnsi="仿宋" w:eastAsia="仿宋" w:cs="仿宋"/>
          <w:sz w:val="31"/>
          <w:szCs w:val="31"/>
        </w:rPr>
        <w:t>。其</w:t>
      </w:r>
      <w:r>
        <w:rPr>
          <w:rFonts w:ascii="仿宋" w:hAnsi="仿宋" w:eastAsia="仿宋" w:cs="仿宋"/>
          <w:spacing w:val="5"/>
          <w:sz w:val="31"/>
          <w:szCs w:val="31"/>
        </w:rPr>
        <w:t>中：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因公出国（境）费全年预算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万元，支出决算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成预算的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0%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；公务用车购置及运行维护费全年预算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25.00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支出决算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25.00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100.00%</w:t>
      </w:r>
      <w:r>
        <w:rPr>
          <w:rFonts w:ascii="仿宋" w:hAnsi="仿宋" w:eastAsia="仿宋" w:cs="仿宋"/>
          <w:spacing w:val="1"/>
          <w:sz w:val="31"/>
          <w:szCs w:val="31"/>
        </w:rPr>
        <w:t>；公务接待费全年预</w:t>
      </w:r>
      <w:r>
        <w:rPr>
          <w:rFonts w:ascii="仿宋" w:hAnsi="仿宋" w:eastAsia="仿宋" w:cs="仿宋"/>
          <w:spacing w:val="-2"/>
          <w:sz w:val="31"/>
          <w:szCs w:val="31"/>
        </w:rPr>
        <w:t>算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1.70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1.70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100.00%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24</w:t>
      </w:r>
      <w:r>
        <w:rPr>
          <w:rFonts w:ascii="仿宋" w:hAnsi="仿宋" w:eastAsia="仿宋" w:cs="仿宋"/>
          <w:spacing w:val="6"/>
          <w:sz w:val="31"/>
          <w:szCs w:val="31"/>
        </w:rPr>
        <w:t>年度一般公共预算财政拨款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三公”经费全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年预算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26.70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支出决算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26.70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万元，与预算差异原因：无差异。</w:t>
      </w:r>
    </w:p>
    <w:p w14:paraId="7F3FC22A">
      <w:pPr>
        <w:spacing w:before="2" w:line="221" w:lineRule="auto"/>
        <w:ind w:left="4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9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二）财政拨款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“三公”经费支出具体情况说</w:t>
      </w:r>
      <w:r>
        <w:rPr>
          <w:rFonts w:ascii="楷体" w:hAnsi="楷体" w:eastAsia="楷体" w:cs="楷体"/>
          <w:spacing w:val="3"/>
          <w:sz w:val="31"/>
          <w:szCs w:val="31"/>
        </w:rPr>
        <w:t>明。</w:t>
      </w:r>
    </w:p>
    <w:p w14:paraId="51670FCD">
      <w:pPr>
        <w:spacing w:line="221" w:lineRule="auto"/>
        <w:rPr>
          <w:rFonts w:ascii="楷体" w:hAnsi="楷体" w:eastAsia="楷体" w:cs="楷体"/>
          <w:sz w:val="31"/>
          <w:szCs w:val="31"/>
        </w:rPr>
        <w:sectPr>
          <w:footerReference r:id="rId20" w:type="default"/>
          <w:pgSz w:w="11906" w:h="16839"/>
          <w:pgMar w:top="1431" w:right="1231" w:bottom="1091" w:left="1599" w:header="0" w:footer="929" w:gutter="0"/>
          <w:cols w:space="720" w:num="1"/>
        </w:sectPr>
      </w:pPr>
    </w:p>
    <w:p w14:paraId="560B1D87">
      <w:pPr>
        <w:pStyle w:val="2"/>
        <w:spacing w:line="246" w:lineRule="auto"/>
      </w:pPr>
    </w:p>
    <w:p w14:paraId="28CE45F7">
      <w:pPr>
        <w:pStyle w:val="2"/>
        <w:spacing w:line="246" w:lineRule="auto"/>
      </w:pPr>
    </w:p>
    <w:p w14:paraId="55E993BD">
      <w:pPr>
        <w:pStyle w:val="2"/>
        <w:spacing w:line="246" w:lineRule="auto"/>
      </w:pPr>
    </w:p>
    <w:p w14:paraId="605B3558">
      <w:pPr>
        <w:spacing w:before="101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杭锦旗人民检察院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4"/>
          <w:sz w:val="31"/>
          <w:szCs w:val="31"/>
        </w:rPr>
        <w:t>年度财政拨款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三公”经费支出</w:t>
      </w:r>
    </w:p>
    <w:p w14:paraId="2CB777C5">
      <w:pPr>
        <w:spacing w:before="191" w:line="333" w:lineRule="auto"/>
        <w:ind w:left="10" w:right="110" w:hanging="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26.70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因公出国（境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）费支出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</w:t>
      </w:r>
      <w:r>
        <w:rPr>
          <w:rFonts w:ascii="仿宋" w:hAnsi="仿宋" w:eastAsia="仿宋" w:cs="仿宋"/>
          <w:spacing w:val="-2"/>
          <w:sz w:val="31"/>
          <w:szCs w:val="31"/>
        </w:rPr>
        <w:t>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占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0%</w:t>
      </w:r>
      <w:r>
        <w:rPr>
          <w:rFonts w:ascii="仿宋" w:hAnsi="仿宋" w:eastAsia="仿宋" w:cs="仿宋"/>
          <w:spacing w:val="-2"/>
          <w:sz w:val="31"/>
          <w:szCs w:val="31"/>
        </w:rPr>
        <w:t>；公务用车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购置及运行维护费支出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25.00</w:t>
      </w:r>
      <w:r>
        <w:rPr>
          <w:rFonts w:ascii="Times New Roman" w:hAnsi="Times New Roman" w:eastAsia="Times New Roman" w:cs="Times New Roman"/>
          <w:spacing w:val="4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占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93.63%</w:t>
      </w:r>
      <w:r>
        <w:rPr>
          <w:rFonts w:ascii="仿宋" w:hAnsi="仿宋" w:eastAsia="仿宋" w:cs="仿宋"/>
          <w:spacing w:val="4"/>
          <w:sz w:val="31"/>
          <w:szCs w:val="31"/>
        </w:rPr>
        <w:t>；公务接待费支</w:t>
      </w:r>
      <w:r>
        <w:rPr>
          <w:rFonts w:ascii="仿宋" w:hAnsi="仿宋" w:eastAsia="仿宋" w:cs="仿宋"/>
          <w:spacing w:val="-2"/>
          <w:sz w:val="31"/>
          <w:szCs w:val="31"/>
        </w:rPr>
        <w:t>出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1.70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占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6.37%</w:t>
      </w:r>
      <w:r>
        <w:rPr>
          <w:rFonts w:ascii="仿宋" w:hAnsi="仿宋" w:eastAsia="仿宋" w:cs="仿宋"/>
          <w:spacing w:val="-2"/>
          <w:sz w:val="31"/>
          <w:szCs w:val="31"/>
        </w:rPr>
        <w:t>。其中：</w:t>
      </w:r>
    </w:p>
    <w:p w14:paraId="667F5CA1">
      <w:pPr>
        <w:spacing w:line="297" w:lineRule="auto"/>
        <w:ind w:left="22" w:right="7" w:firstLine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因公出国（境）费支出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万元，全年出国（境）团组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0  </w:t>
      </w:r>
      <w:r>
        <w:rPr>
          <w:rFonts w:ascii="仿宋" w:hAnsi="仿宋" w:eastAsia="仿宋" w:cs="仿宋"/>
          <w:spacing w:val="-10"/>
          <w:sz w:val="31"/>
          <w:szCs w:val="31"/>
        </w:rPr>
        <w:t>个，</w:t>
      </w:r>
      <w:r>
        <w:rPr>
          <w:rFonts w:ascii="仿宋" w:hAnsi="仿宋" w:eastAsia="仿宋" w:cs="仿宋"/>
          <w:spacing w:val="3"/>
          <w:sz w:val="31"/>
          <w:szCs w:val="31"/>
        </w:rPr>
        <w:t>累计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  </w:t>
      </w:r>
      <w:r>
        <w:rPr>
          <w:rFonts w:ascii="仿宋" w:hAnsi="仿宋" w:eastAsia="仿宋" w:cs="仿宋"/>
          <w:spacing w:val="3"/>
          <w:sz w:val="31"/>
          <w:szCs w:val="31"/>
        </w:rPr>
        <w:t>人次。与上年决算相比，增加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0%</w:t>
      </w:r>
      <w:r>
        <w:rPr>
          <w:rFonts w:ascii="仿宋" w:hAnsi="仿宋" w:eastAsia="仿宋" w:cs="仿宋"/>
          <w:spacing w:val="3"/>
          <w:sz w:val="31"/>
          <w:szCs w:val="31"/>
        </w:rPr>
        <w:t>，变动原因：无变动。</w:t>
      </w:r>
    </w:p>
    <w:p w14:paraId="1A7A7FB2">
      <w:pPr>
        <w:spacing w:before="182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2.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公务用车购置及运行维护费支出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25.00</w:t>
      </w:r>
      <w:r>
        <w:rPr>
          <w:rFonts w:ascii="Times New Roman" w:hAnsi="Times New Roman" w:eastAsia="Times New Roman" w:cs="Times New Roman"/>
          <w:spacing w:val="5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万元。其中：</w:t>
      </w:r>
    </w:p>
    <w:p w14:paraId="5868772F">
      <w:pPr>
        <w:spacing w:before="190" w:line="297" w:lineRule="auto"/>
        <w:ind w:left="4" w:right="9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）公务用车购置支出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万元。本年度使用财政拨款购置</w:t>
      </w:r>
      <w:r>
        <w:rPr>
          <w:rFonts w:ascii="仿宋" w:hAnsi="仿宋" w:eastAsia="仿宋" w:cs="仿宋"/>
          <w:spacing w:val="4"/>
          <w:sz w:val="31"/>
          <w:szCs w:val="31"/>
        </w:rPr>
        <w:t>公务用车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  </w:t>
      </w:r>
      <w:r>
        <w:rPr>
          <w:rFonts w:ascii="仿宋" w:hAnsi="仿宋" w:eastAsia="仿宋" w:cs="仿宋"/>
          <w:spacing w:val="4"/>
          <w:sz w:val="31"/>
          <w:szCs w:val="31"/>
        </w:rPr>
        <w:t>辆。与上年决算相比，增加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0%</w:t>
      </w:r>
      <w:r>
        <w:rPr>
          <w:rFonts w:ascii="仿宋" w:hAnsi="仿宋" w:eastAsia="仿宋" w:cs="仿宋"/>
          <w:spacing w:val="4"/>
          <w:sz w:val="31"/>
          <w:szCs w:val="31"/>
        </w:rPr>
        <w:t>，变动</w:t>
      </w:r>
      <w:r>
        <w:rPr>
          <w:rFonts w:ascii="仿宋" w:hAnsi="仿宋" w:eastAsia="仿宋" w:cs="仿宋"/>
          <w:spacing w:val="6"/>
          <w:sz w:val="31"/>
          <w:szCs w:val="31"/>
        </w:rPr>
        <w:t>原因：无变动。</w:t>
      </w:r>
    </w:p>
    <w:p w14:paraId="2D84AA8B">
      <w:pPr>
        <w:spacing w:before="187" w:line="311" w:lineRule="auto"/>
        <w:ind w:left="1" w:right="90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）公务用车运行维护费支出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25.00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万元。公务用车</w:t>
      </w:r>
      <w:r>
        <w:rPr>
          <w:rFonts w:ascii="仿宋" w:hAnsi="仿宋" w:eastAsia="仿宋" w:cs="仿宋"/>
          <w:spacing w:val="8"/>
          <w:sz w:val="31"/>
          <w:szCs w:val="31"/>
        </w:rPr>
        <w:t>运行</w:t>
      </w:r>
      <w:r>
        <w:rPr>
          <w:rFonts w:ascii="仿宋" w:hAnsi="仿宋" w:eastAsia="仿宋" w:cs="仿宋"/>
          <w:spacing w:val="5"/>
          <w:sz w:val="31"/>
          <w:szCs w:val="31"/>
        </w:rPr>
        <w:t>维护费主要用于按规定保留的公务用车的燃料费、维修费、过桥</w:t>
      </w:r>
      <w:r>
        <w:rPr>
          <w:rFonts w:ascii="仿宋" w:hAnsi="仿宋" w:eastAsia="仿宋" w:cs="仿宋"/>
          <w:spacing w:val="8"/>
          <w:sz w:val="31"/>
          <w:szCs w:val="31"/>
        </w:rPr>
        <w:t>过路费、保险费、安全奖励费用等支出。截至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31</w:t>
      </w:r>
      <w:r>
        <w:rPr>
          <w:rFonts w:ascii="仿宋" w:hAnsi="仿宋" w:eastAsia="仿宋" w:cs="仿宋"/>
          <w:spacing w:val="10"/>
          <w:sz w:val="31"/>
          <w:szCs w:val="31"/>
        </w:rPr>
        <w:t>日，使用财政拨款开支的公务用车保有量为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7  </w:t>
      </w:r>
      <w:r>
        <w:rPr>
          <w:rFonts w:ascii="仿宋" w:hAnsi="仿宋" w:eastAsia="仿宋" w:cs="仿宋"/>
          <w:spacing w:val="10"/>
          <w:sz w:val="31"/>
          <w:szCs w:val="31"/>
        </w:rPr>
        <w:t>辆。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与上年决算</w:t>
      </w:r>
      <w:r>
        <w:rPr>
          <w:rFonts w:ascii="仿宋" w:hAnsi="仿宋" w:eastAsia="仿宋" w:cs="仿宋"/>
          <w:spacing w:val="6"/>
          <w:sz w:val="31"/>
          <w:szCs w:val="31"/>
        </w:rPr>
        <w:t>相比，增加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万元，增长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0%</w:t>
      </w:r>
      <w:r>
        <w:rPr>
          <w:rFonts w:ascii="仿宋" w:hAnsi="仿宋" w:eastAsia="仿宋" w:cs="仿宋"/>
          <w:spacing w:val="6"/>
          <w:sz w:val="31"/>
          <w:szCs w:val="31"/>
        </w:rPr>
        <w:t>，变动原因：无变动。</w:t>
      </w:r>
    </w:p>
    <w:p w14:paraId="39949865">
      <w:pPr>
        <w:spacing w:before="184" w:line="334" w:lineRule="auto"/>
        <w:ind w:left="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3.</w:t>
      </w:r>
      <w:r>
        <w:rPr>
          <w:rFonts w:ascii="仿宋" w:hAnsi="仿宋" w:eastAsia="仿宋" w:cs="仿宋"/>
          <w:spacing w:val="-5"/>
          <w:sz w:val="31"/>
          <w:szCs w:val="31"/>
        </w:rPr>
        <w:t>公务接待费支出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1.70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万元。其中：国内公务接待支出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1.70</w:t>
      </w:r>
      <w:r>
        <w:rPr>
          <w:rFonts w:ascii="仿宋" w:hAnsi="仿宋" w:eastAsia="仿宋" w:cs="仿宋"/>
          <w:spacing w:val="6"/>
          <w:sz w:val="31"/>
          <w:szCs w:val="31"/>
        </w:rPr>
        <w:t>万元，接待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11  </w:t>
      </w:r>
      <w:r>
        <w:rPr>
          <w:rFonts w:ascii="仿宋" w:hAnsi="仿宋" w:eastAsia="仿宋" w:cs="仿宋"/>
          <w:spacing w:val="6"/>
          <w:sz w:val="31"/>
          <w:szCs w:val="31"/>
        </w:rPr>
        <w:t>批次，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172  </w:t>
      </w:r>
      <w:r>
        <w:rPr>
          <w:rFonts w:ascii="仿宋" w:hAnsi="仿宋" w:eastAsia="仿宋" w:cs="仿宋"/>
          <w:spacing w:val="6"/>
          <w:sz w:val="31"/>
          <w:szCs w:val="31"/>
        </w:rPr>
        <w:t>人次，开支内</w:t>
      </w:r>
      <w:r>
        <w:rPr>
          <w:rFonts w:ascii="仿宋" w:hAnsi="仿宋" w:eastAsia="仿宋" w:cs="仿宋"/>
          <w:spacing w:val="5"/>
          <w:sz w:val="31"/>
          <w:szCs w:val="31"/>
        </w:rPr>
        <w:t>容：主要用于上级检察</w:t>
      </w:r>
      <w:r>
        <w:rPr>
          <w:rFonts w:ascii="仿宋" w:hAnsi="仿宋" w:eastAsia="仿宋" w:cs="仿宋"/>
          <w:spacing w:val="17"/>
          <w:sz w:val="31"/>
          <w:szCs w:val="31"/>
        </w:rPr>
        <w:t>机关及其他单位莅临检查指导工作以及其他旗区检察院案件评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查等；国（境）外公务接待支出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万元，接待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0  </w:t>
      </w:r>
      <w:r>
        <w:rPr>
          <w:rFonts w:ascii="仿宋" w:hAnsi="仿宋" w:eastAsia="仿宋" w:cs="仿宋"/>
          <w:spacing w:val="1"/>
          <w:sz w:val="31"/>
          <w:szCs w:val="31"/>
        </w:rPr>
        <w:t>批次，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0  </w:t>
      </w:r>
      <w:r>
        <w:rPr>
          <w:rFonts w:ascii="仿宋" w:hAnsi="仿宋" w:eastAsia="仿宋" w:cs="仿宋"/>
          <w:spacing w:val="1"/>
          <w:sz w:val="31"/>
          <w:szCs w:val="31"/>
        </w:rPr>
        <w:t>人次。</w:t>
      </w:r>
      <w:r>
        <w:rPr>
          <w:rFonts w:ascii="仿宋" w:hAnsi="仿宋" w:eastAsia="仿宋" w:cs="仿宋"/>
          <w:spacing w:val="7"/>
          <w:sz w:val="31"/>
          <w:szCs w:val="31"/>
        </w:rPr>
        <w:t>与上年决算相比，增加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0%</w:t>
      </w:r>
      <w:r>
        <w:rPr>
          <w:rFonts w:ascii="仿宋" w:hAnsi="仿宋" w:eastAsia="仿宋" w:cs="仿宋"/>
          <w:spacing w:val="7"/>
          <w:sz w:val="31"/>
          <w:szCs w:val="31"/>
        </w:rPr>
        <w:t>，变动</w:t>
      </w:r>
      <w:r>
        <w:rPr>
          <w:rFonts w:ascii="仿宋" w:hAnsi="仿宋" w:eastAsia="仿宋" w:cs="仿宋"/>
          <w:spacing w:val="6"/>
          <w:sz w:val="31"/>
          <w:szCs w:val="31"/>
        </w:rPr>
        <w:t>原因：无变动。</w:t>
      </w:r>
    </w:p>
    <w:p w14:paraId="480BB81D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1431" w:right="1384" w:bottom="1091" w:left="1593" w:header="0" w:footer="929" w:gutter="0"/>
          <w:cols w:space="720" w:num="1"/>
        </w:sectPr>
      </w:pPr>
    </w:p>
    <w:p w14:paraId="78F9BE20">
      <w:pPr>
        <w:pStyle w:val="2"/>
        <w:spacing w:line="246" w:lineRule="auto"/>
      </w:pPr>
    </w:p>
    <w:p w14:paraId="41BFB62C">
      <w:pPr>
        <w:pStyle w:val="2"/>
        <w:spacing w:line="246" w:lineRule="auto"/>
      </w:pPr>
    </w:p>
    <w:p w14:paraId="3D766F86">
      <w:pPr>
        <w:pStyle w:val="2"/>
        <w:spacing w:line="246" w:lineRule="auto"/>
      </w:pPr>
    </w:p>
    <w:p w14:paraId="55A38003">
      <w:pPr>
        <w:spacing w:before="101" w:line="222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九、政府性基金预算财政拨款支出决算情况说明</w:t>
      </w:r>
    </w:p>
    <w:p w14:paraId="45CC8CC2">
      <w:pPr>
        <w:spacing w:before="188" w:line="333" w:lineRule="auto"/>
        <w:ind w:left="7" w:right="24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杭锦旗人民检察院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12"/>
          <w:sz w:val="31"/>
          <w:szCs w:val="31"/>
        </w:rPr>
        <w:t>年度政府性基金预算财政拨款支出</w:t>
      </w:r>
      <w:r>
        <w:rPr>
          <w:rFonts w:ascii="仿宋" w:hAnsi="仿宋" w:eastAsia="仿宋" w:cs="仿宋"/>
          <w:spacing w:val="5"/>
          <w:sz w:val="31"/>
          <w:szCs w:val="31"/>
        </w:rPr>
        <w:t>决算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万元。与上年决算相比，增加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万元，增长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0%</w:t>
      </w:r>
      <w:r>
        <w:rPr>
          <w:rFonts w:ascii="仿宋" w:hAnsi="仿宋" w:eastAsia="仿宋" w:cs="仿宋"/>
          <w:spacing w:val="5"/>
          <w:sz w:val="31"/>
          <w:szCs w:val="31"/>
        </w:rPr>
        <w:t>，变动原</w:t>
      </w:r>
      <w:r>
        <w:rPr>
          <w:rFonts w:ascii="仿宋" w:hAnsi="仿宋" w:eastAsia="仿宋" w:cs="仿宋"/>
          <w:spacing w:val="8"/>
          <w:sz w:val="31"/>
          <w:szCs w:val="31"/>
        </w:rPr>
        <w:t>因：本部门无政府性基金预算财政拨款收、支、余。</w:t>
      </w:r>
    </w:p>
    <w:p w14:paraId="206344ED">
      <w:pPr>
        <w:spacing w:line="222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十、国有资本经营预算财政拨款支出决算情况</w:t>
      </w:r>
      <w:r>
        <w:rPr>
          <w:rFonts w:ascii="黑体" w:hAnsi="黑体" w:eastAsia="黑体" w:cs="黑体"/>
          <w:spacing w:val="8"/>
          <w:sz w:val="31"/>
          <w:szCs w:val="31"/>
        </w:rPr>
        <w:t>说明</w:t>
      </w:r>
    </w:p>
    <w:p w14:paraId="5FB84FD9">
      <w:pPr>
        <w:spacing w:before="188" w:line="333" w:lineRule="auto"/>
        <w:ind w:left="8" w:right="24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杭锦旗人民检察院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12"/>
          <w:sz w:val="31"/>
          <w:szCs w:val="31"/>
        </w:rPr>
        <w:t>年度国有资本经营预算财政拨款支</w:t>
      </w:r>
      <w:r>
        <w:rPr>
          <w:rFonts w:ascii="仿宋" w:hAnsi="仿宋" w:eastAsia="仿宋" w:cs="仿宋"/>
          <w:spacing w:val="5"/>
          <w:sz w:val="31"/>
          <w:szCs w:val="31"/>
        </w:rPr>
        <w:t>出决算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万元。与上年决算相比，增加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万元，增长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0%</w:t>
      </w:r>
      <w:r>
        <w:rPr>
          <w:rFonts w:ascii="仿宋" w:hAnsi="仿宋" w:eastAsia="仿宋" w:cs="仿宋"/>
          <w:spacing w:val="5"/>
          <w:sz w:val="31"/>
          <w:szCs w:val="31"/>
        </w:rPr>
        <w:t>，变动</w:t>
      </w:r>
      <w:r>
        <w:rPr>
          <w:rFonts w:ascii="仿宋" w:hAnsi="仿宋" w:eastAsia="仿宋" w:cs="仿宋"/>
          <w:spacing w:val="8"/>
          <w:sz w:val="31"/>
          <w:szCs w:val="31"/>
        </w:rPr>
        <w:t>原因：本部门无国有资本经营预算财政拨款收、支、余。</w:t>
      </w:r>
    </w:p>
    <w:p w14:paraId="47AACF58">
      <w:pPr>
        <w:spacing w:line="222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十一、机关运行经费（公用经费）支出决算情况</w:t>
      </w:r>
      <w:r>
        <w:rPr>
          <w:rFonts w:ascii="黑体" w:hAnsi="黑体" w:eastAsia="黑体" w:cs="黑体"/>
          <w:spacing w:val="8"/>
          <w:sz w:val="31"/>
          <w:szCs w:val="31"/>
        </w:rPr>
        <w:t>说明</w:t>
      </w:r>
    </w:p>
    <w:p w14:paraId="31A9CC96">
      <w:pPr>
        <w:spacing w:before="193" w:line="333" w:lineRule="auto"/>
        <w:ind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 xml:space="preserve">杭锦旗人民检察院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年度公用经费支出决算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63.11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>与上年决算相比，减少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3.64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万元，下降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5.45%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，变动原因：年初</w:t>
      </w:r>
      <w:r>
        <w:rPr>
          <w:rFonts w:ascii="仿宋" w:hAnsi="仿宋" w:eastAsia="仿宋" w:cs="仿宋"/>
          <w:spacing w:val="10"/>
          <w:sz w:val="31"/>
          <w:szCs w:val="31"/>
        </w:rPr>
        <w:t>和年中我院退休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0"/>
          <w:sz w:val="31"/>
          <w:szCs w:val="31"/>
        </w:rPr>
        <w:t>人，而新招录和调入人员均</w:t>
      </w:r>
      <w:r>
        <w:rPr>
          <w:rFonts w:ascii="仿宋" w:hAnsi="仿宋" w:eastAsia="仿宋" w:cs="仿宋"/>
          <w:spacing w:val="9"/>
          <w:sz w:val="31"/>
          <w:szCs w:val="31"/>
        </w:rPr>
        <w:t>年中和年末入职，</w:t>
      </w:r>
      <w:r>
        <w:rPr>
          <w:rFonts w:ascii="仿宋" w:hAnsi="仿宋" w:eastAsia="仿宋" w:cs="仿宋"/>
          <w:spacing w:val="5"/>
          <w:sz w:val="31"/>
          <w:szCs w:val="31"/>
        </w:rPr>
        <w:t>其他交通费用支出减少，公用经费支出相应减少。其中，机关运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行经费支出决算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63.11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比上年决算相比，减少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3.64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5"/>
          <w:sz w:val="31"/>
          <w:szCs w:val="31"/>
        </w:rPr>
        <w:t>下降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5.45%</w:t>
      </w:r>
      <w:r>
        <w:rPr>
          <w:rFonts w:ascii="仿宋" w:hAnsi="仿宋" w:eastAsia="仿宋" w:cs="仿宋"/>
          <w:spacing w:val="5"/>
          <w:sz w:val="31"/>
          <w:szCs w:val="31"/>
        </w:rPr>
        <w:t>，变动原因：年初和年中我院退休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5"/>
          <w:sz w:val="31"/>
          <w:szCs w:val="31"/>
        </w:rPr>
        <w:t>人，而新招录和调入人员均年中和年末入职，其他交通费用支出减少，机关运行</w:t>
      </w:r>
      <w:r>
        <w:rPr>
          <w:rFonts w:ascii="仿宋" w:hAnsi="仿宋" w:eastAsia="仿宋" w:cs="仿宋"/>
          <w:spacing w:val="7"/>
          <w:sz w:val="31"/>
          <w:szCs w:val="31"/>
        </w:rPr>
        <w:t>经费支出相应减少。</w:t>
      </w:r>
    </w:p>
    <w:p w14:paraId="2479BBFD">
      <w:pPr>
        <w:spacing w:before="1" w:line="222" w:lineRule="auto"/>
        <w:ind w:left="6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十二、政府采购支出决算情况说明</w:t>
      </w:r>
    </w:p>
    <w:p w14:paraId="62250227">
      <w:pPr>
        <w:spacing w:before="188" w:line="334" w:lineRule="auto"/>
        <w:ind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杭锦旗人民检察院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2"/>
          <w:sz w:val="31"/>
          <w:szCs w:val="31"/>
        </w:rPr>
        <w:t>年度政府采购支出总额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138.93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1"/>
          <w:sz w:val="31"/>
          <w:szCs w:val="31"/>
        </w:rPr>
        <w:t>其中：政府采购货物支出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13.30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万元、政府采购工程支出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万元、</w:t>
      </w:r>
      <w:r>
        <w:rPr>
          <w:rFonts w:ascii="仿宋" w:hAnsi="仿宋" w:eastAsia="仿宋" w:cs="仿宋"/>
          <w:spacing w:val="10"/>
          <w:sz w:val="31"/>
          <w:szCs w:val="31"/>
        </w:rPr>
        <w:t>政府采购服务支出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125.64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万元。政府采购授予</w:t>
      </w:r>
      <w:r>
        <w:rPr>
          <w:rFonts w:ascii="仿宋" w:hAnsi="仿宋" w:eastAsia="仿宋" w:cs="仿宋"/>
          <w:spacing w:val="9"/>
          <w:sz w:val="31"/>
          <w:szCs w:val="31"/>
        </w:rPr>
        <w:t>中小企业合同金</w:t>
      </w:r>
      <w:r>
        <w:rPr>
          <w:rFonts w:ascii="仿宋" w:hAnsi="仿宋" w:eastAsia="仿宋" w:cs="仿宋"/>
          <w:spacing w:val="3"/>
          <w:sz w:val="31"/>
          <w:szCs w:val="31"/>
        </w:rPr>
        <w:t>额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105.45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占政府采购支出总额的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75.90%</w:t>
      </w:r>
      <w:r>
        <w:rPr>
          <w:rFonts w:ascii="仿宋" w:hAnsi="仿宋" w:eastAsia="仿宋" w:cs="仿宋"/>
          <w:spacing w:val="3"/>
          <w:sz w:val="31"/>
          <w:szCs w:val="31"/>
        </w:rPr>
        <w:t>，其中：授予小</w:t>
      </w:r>
    </w:p>
    <w:p w14:paraId="0116B300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1431" w:right="1231" w:bottom="1091" w:left="1598" w:header="0" w:footer="929" w:gutter="0"/>
          <w:cols w:space="720" w:num="1"/>
        </w:sectPr>
      </w:pPr>
    </w:p>
    <w:p w14:paraId="72E16EA9">
      <w:pPr>
        <w:pStyle w:val="2"/>
        <w:spacing w:line="246" w:lineRule="auto"/>
      </w:pPr>
    </w:p>
    <w:p w14:paraId="25F6EA24">
      <w:pPr>
        <w:pStyle w:val="2"/>
        <w:spacing w:line="247" w:lineRule="auto"/>
      </w:pPr>
    </w:p>
    <w:p w14:paraId="6E76BB11">
      <w:pPr>
        <w:pStyle w:val="2"/>
        <w:spacing w:line="247" w:lineRule="auto"/>
      </w:pPr>
    </w:p>
    <w:p w14:paraId="483518A6">
      <w:pPr>
        <w:spacing w:before="101" w:line="333" w:lineRule="auto"/>
        <w:ind w:left="7" w:right="2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微企业合同金额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105.45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占政府采购支出总额的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75.90%</w:t>
      </w:r>
      <w:r>
        <w:rPr>
          <w:rFonts w:ascii="仿宋" w:hAnsi="仿宋" w:eastAsia="仿宋" w:cs="仿宋"/>
          <w:spacing w:val="3"/>
          <w:sz w:val="31"/>
          <w:szCs w:val="31"/>
        </w:rPr>
        <w:t>；</w:t>
      </w:r>
      <w:r>
        <w:rPr>
          <w:rFonts w:ascii="仿宋" w:hAnsi="仿宋" w:eastAsia="仿宋" w:cs="仿宋"/>
          <w:spacing w:val="8"/>
          <w:sz w:val="31"/>
          <w:szCs w:val="31"/>
        </w:rPr>
        <w:t>货物采购授予中小企业合同金额占货物支出金额的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100%</w:t>
      </w:r>
      <w:r>
        <w:rPr>
          <w:rFonts w:ascii="仿宋" w:hAnsi="仿宋" w:eastAsia="仿宋" w:cs="仿宋"/>
          <w:spacing w:val="8"/>
          <w:sz w:val="31"/>
          <w:szCs w:val="31"/>
        </w:rPr>
        <w:t>，工程</w:t>
      </w:r>
      <w:r>
        <w:rPr>
          <w:rFonts w:ascii="仿宋" w:hAnsi="仿宋" w:eastAsia="仿宋" w:cs="仿宋"/>
          <w:spacing w:val="9"/>
          <w:sz w:val="31"/>
          <w:szCs w:val="31"/>
        </w:rPr>
        <w:t>采购授予中小企业合同金额占工程支出金额的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0%</w:t>
      </w:r>
      <w:r>
        <w:rPr>
          <w:rFonts w:ascii="仿宋" w:hAnsi="仿宋" w:eastAsia="仿宋" w:cs="仿宋"/>
          <w:spacing w:val="9"/>
          <w:sz w:val="31"/>
          <w:szCs w:val="31"/>
        </w:rPr>
        <w:t>，服务采购授</w:t>
      </w:r>
      <w:r>
        <w:rPr>
          <w:rFonts w:ascii="仿宋" w:hAnsi="仿宋" w:eastAsia="仿宋" w:cs="仿宋"/>
          <w:spacing w:val="7"/>
          <w:sz w:val="31"/>
          <w:szCs w:val="31"/>
        </w:rPr>
        <w:t>予中小企业合同金额占服务支出金额的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73.34%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 w14:paraId="4E701327">
      <w:pPr>
        <w:spacing w:line="222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十三、国有资产占用情况说明</w:t>
      </w:r>
    </w:p>
    <w:p w14:paraId="034241F8">
      <w:pPr>
        <w:spacing w:before="190" w:line="333" w:lineRule="auto"/>
        <w:ind w:firstLine="65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杭锦旗人民检察院 截至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1"/>
          <w:sz w:val="31"/>
          <w:szCs w:val="31"/>
        </w:rPr>
        <w:t>日，本部门共有车</w:t>
      </w:r>
      <w:r>
        <w:rPr>
          <w:rFonts w:ascii="仿宋" w:hAnsi="仿宋" w:eastAsia="仿宋" w:cs="仿宋"/>
          <w:spacing w:val="7"/>
          <w:sz w:val="31"/>
          <w:szCs w:val="31"/>
        </w:rPr>
        <w:t>辆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7"/>
          <w:sz w:val="31"/>
          <w:szCs w:val="31"/>
        </w:rPr>
        <w:t>辆，其中：副部（省）级及以上领导用车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7"/>
          <w:sz w:val="31"/>
          <w:szCs w:val="31"/>
        </w:rPr>
        <w:t>辆、主要负责人</w:t>
      </w:r>
      <w:r>
        <w:rPr>
          <w:rFonts w:ascii="仿宋" w:hAnsi="仿宋" w:eastAsia="仿宋" w:cs="仿宋"/>
          <w:spacing w:val="9"/>
          <w:sz w:val="31"/>
          <w:szCs w:val="31"/>
        </w:rPr>
        <w:t>用车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9"/>
          <w:sz w:val="31"/>
          <w:szCs w:val="31"/>
        </w:rPr>
        <w:t>辆、机要通信用车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9"/>
          <w:sz w:val="31"/>
          <w:szCs w:val="31"/>
        </w:rPr>
        <w:t>辆、应急保障用车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9"/>
          <w:sz w:val="31"/>
          <w:szCs w:val="31"/>
        </w:rPr>
        <w:t>辆</w:t>
      </w:r>
      <w:r>
        <w:rPr>
          <w:rFonts w:ascii="仿宋" w:hAnsi="仿宋" w:eastAsia="仿宋" w:cs="仿宋"/>
          <w:spacing w:val="8"/>
          <w:sz w:val="31"/>
          <w:szCs w:val="31"/>
        </w:rPr>
        <w:t>、执法执勤用</w:t>
      </w:r>
      <w:r>
        <w:rPr>
          <w:rFonts w:ascii="仿宋" w:hAnsi="仿宋" w:eastAsia="仿宋" w:cs="仿宋"/>
          <w:spacing w:val="9"/>
          <w:sz w:val="31"/>
          <w:szCs w:val="31"/>
        </w:rPr>
        <w:t>车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9"/>
          <w:sz w:val="31"/>
          <w:szCs w:val="31"/>
        </w:rPr>
        <w:t>辆、特种专业技术用车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9"/>
          <w:sz w:val="31"/>
          <w:szCs w:val="31"/>
        </w:rPr>
        <w:t>辆、离退休干部服务用车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9"/>
          <w:sz w:val="31"/>
          <w:szCs w:val="31"/>
        </w:rPr>
        <w:t>辆，其</w:t>
      </w:r>
      <w:r>
        <w:rPr>
          <w:rFonts w:ascii="仿宋" w:hAnsi="仿宋" w:eastAsia="仿宋" w:cs="仿宋"/>
          <w:spacing w:val="3"/>
          <w:sz w:val="31"/>
          <w:szCs w:val="31"/>
        </w:rPr>
        <w:t>他用车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3"/>
          <w:sz w:val="31"/>
          <w:szCs w:val="31"/>
        </w:rPr>
        <w:t>辆；单价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万元（含）以上的设备（不含车辆）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台（套）。</w:t>
      </w:r>
    </w:p>
    <w:p w14:paraId="0872698E">
      <w:pPr>
        <w:spacing w:line="222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十四、预算绩效情况说明</w:t>
      </w:r>
    </w:p>
    <w:p w14:paraId="4134AC6A">
      <w:pPr>
        <w:spacing w:before="187" w:line="220" w:lineRule="auto"/>
        <w:ind w:left="48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（一）预算绩效管理工作开展情况。</w:t>
      </w:r>
    </w:p>
    <w:p w14:paraId="5E6C8BB3">
      <w:pPr>
        <w:spacing w:before="194" w:line="333" w:lineRule="auto"/>
        <w:ind w:left="4" w:right="2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杭锦旗人民检察院 根据预算绩效管理要求组</w:t>
      </w:r>
      <w:r>
        <w:rPr>
          <w:rFonts w:ascii="仿宋" w:hAnsi="仿宋" w:eastAsia="仿宋" w:cs="仿宋"/>
          <w:spacing w:val="7"/>
          <w:sz w:val="31"/>
          <w:szCs w:val="31"/>
        </w:rPr>
        <w:t>织对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ascii="仿宋" w:hAnsi="仿宋" w:eastAsia="仿宋" w:cs="仿宋"/>
          <w:spacing w:val="8"/>
          <w:sz w:val="31"/>
          <w:szCs w:val="31"/>
        </w:rPr>
        <w:t>一般公共预算项目支出全面开展绩效自评，其中项目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8"/>
          <w:sz w:val="31"/>
          <w:szCs w:val="31"/>
        </w:rPr>
        <w:t>个，共涉</w:t>
      </w:r>
      <w:r>
        <w:rPr>
          <w:rFonts w:ascii="仿宋" w:hAnsi="仿宋" w:eastAsia="仿宋" w:cs="仿宋"/>
          <w:spacing w:val="3"/>
          <w:sz w:val="31"/>
          <w:szCs w:val="31"/>
        </w:rPr>
        <w:t>及资金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389.96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万元，占一般公共预算项目支出总额的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100%</w:t>
      </w:r>
      <w:r>
        <w:rPr>
          <w:rFonts w:ascii="仿宋" w:hAnsi="仿宋" w:eastAsia="仿宋" w:cs="仿宋"/>
          <w:spacing w:val="3"/>
          <w:sz w:val="31"/>
          <w:szCs w:val="31"/>
        </w:rPr>
        <w:t>；政</w:t>
      </w:r>
      <w:r>
        <w:rPr>
          <w:rFonts w:ascii="仿宋" w:hAnsi="仿宋" w:eastAsia="仿宋" w:cs="仿宋"/>
          <w:spacing w:val="6"/>
          <w:sz w:val="31"/>
          <w:szCs w:val="31"/>
        </w:rPr>
        <w:t>府性基金预算项目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6"/>
          <w:sz w:val="31"/>
          <w:szCs w:val="31"/>
        </w:rPr>
        <w:t>个，共涉及资金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万元，占应纳入绩效自评的政府性基金预算项目支出总额的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100%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 w14:paraId="696158F3">
      <w:pPr>
        <w:spacing w:before="4" w:line="333" w:lineRule="auto"/>
        <w:ind w:left="5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组织对“办案（业务）经费项目”，根据数量指标、质</w:t>
      </w:r>
      <w:r>
        <w:rPr>
          <w:rFonts w:ascii="仿宋" w:hAnsi="仿宋" w:eastAsia="仿宋" w:cs="仿宋"/>
          <w:spacing w:val="4"/>
          <w:sz w:val="31"/>
          <w:szCs w:val="31"/>
        </w:rPr>
        <w:t>量指</w:t>
      </w:r>
      <w:r>
        <w:rPr>
          <w:rFonts w:ascii="仿宋" w:hAnsi="仿宋" w:eastAsia="仿宋" w:cs="仿宋"/>
          <w:spacing w:val="5"/>
          <w:sz w:val="31"/>
          <w:szCs w:val="31"/>
        </w:rPr>
        <w:t>标、时效指标、成本指标、经济效益指标、社会效益指标、服务对象满意度指标等方面开展了部门评价，涉及一般公共预算支出</w:t>
      </w:r>
    </w:p>
    <w:p w14:paraId="02F8A3E5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1431" w:right="1473" w:bottom="1091" w:left="1590" w:header="0" w:footer="929" w:gutter="0"/>
          <w:cols w:space="720" w:num="1"/>
        </w:sectPr>
      </w:pPr>
    </w:p>
    <w:p w14:paraId="141C6667">
      <w:pPr>
        <w:pStyle w:val="2"/>
        <w:spacing w:line="246" w:lineRule="auto"/>
      </w:pPr>
    </w:p>
    <w:p w14:paraId="632F7F3F">
      <w:pPr>
        <w:pStyle w:val="2"/>
        <w:spacing w:line="246" w:lineRule="auto"/>
      </w:pPr>
    </w:p>
    <w:p w14:paraId="362C6BC1">
      <w:pPr>
        <w:pStyle w:val="2"/>
        <w:spacing w:line="246" w:lineRule="auto"/>
      </w:pPr>
    </w:p>
    <w:p w14:paraId="32B7258C">
      <w:pPr>
        <w:spacing w:before="100" w:line="333" w:lineRule="auto"/>
        <w:ind w:left="10" w:right="252" w:hanging="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353.96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万元，政府性基金支出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万元。从评价情况看，以上项目</w:t>
      </w:r>
      <w:r>
        <w:rPr>
          <w:rFonts w:ascii="仿宋" w:hAnsi="仿宋" w:eastAsia="仿宋" w:cs="仿宋"/>
          <w:spacing w:val="5"/>
          <w:sz w:val="31"/>
          <w:szCs w:val="31"/>
        </w:rPr>
        <w:t>最终绩效评价分值为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95.65 </w:t>
      </w:r>
      <w:r>
        <w:rPr>
          <w:rFonts w:ascii="仿宋" w:hAnsi="仿宋" w:eastAsia="仿宋" w:cs="仿宋"/>
          <w:spacing w:val="5"/>
          <w:sz w:val="31"/>
          <w:szCs w:val="31"/>
        </w:rPr>
        <w:t>分，绩效评价等级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“优”。</w:t>
      </w:r>
    </w:p>
    <w:p w14:paraId="55CB734C">
      <w:pPr>
        <w:spacing w:before="1" w:line="219" w:lineRule="auto"/>
        <w:ind w:left="47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二）部门（单位）决算中项目绩效自评结果。</w:t>
      </w:r>
    </w:p>
    <w:p w14:paraId="6FEB40F0">
      <w:pPr>
        <w:spacing w:before="192" w:line="333" w:lineRule="auto"/>
        <w:ind w:left="12" w:right="160" w:firstLine="5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杭锦旗人民检察院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9"/>
          <w:sz w:val="31"/>
          <w:szCs w:val="31"/>
        </w:rPr>
        <w:t>年度在决算中反映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8"/>
          <w:sz w:val="31"/>
          <w:szCs w:val="31"/>
        </w:rPr>
        <w:t>个一般公共预</w:t>
      </w:r>
      <w:r>
        <w:rPr>
          <w:rFonts w:ascii="仿宋" w:hAnsi="仿宋" w:eastAsia="仿宋" w:cs="仿宋"/>
          <w:spacing w:val="-3"/>
          <w:sz w:val="31"/>
          <w:szCs w:val="31"/>
        </w:rPr>
        <w:t>算项目，以及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3"/>
          <w:sz w:val="31"/>
          <w:szCs w:val="31"/>
        </w:rPr>
        <w:t>个政府性基金项目，共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个项目的绩效自评结果。</w:t>
      </w:r>
    </w:p>
    <w:p w14:paraId="38C0886B">
      <w:pPr>
        <w:spacing w:line="221" w:lineRule="auto"/>
        <w:ind w:left="8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办案业务费项目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自评综述：根据年初设定的绩效目</w:t>
      </w:r>
      <w:r>
        <w:rPr>
          <w:rFonts w:ascii="仿宋" w:hAnsi="仿宋" w:eastAsia="仿宋" w:cs="仿宋"/>
          <w:spacing w:val="7"/>
          <w:sz w:val="31"/>
          <w:szCs w:val="31"/>
        </w:rPr>
        <w:t>标，</w:t>
      </w:r>
    </w:p>
    <w:p w14:paraId="590E0EA6">
      <w:pPr>
        <w:spacing w:before="191" w:line="324" w:lineRule="auto"/>
        <w:ind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项目自评得分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96 </w:t>
      </w:r>
      <w:r>
        <w:rPr>
          <w:rFonts w:ascii="仿宋" w:hAnsi="仿宋" w:eastAsia="仿宋" w:cs="仿宋"/>
          <w:spacing w:val="-4"/>
          <w:sz w:val="31"/>
          <w:szCs w:val="31"/>
        </w:rPr>
        <w:t>分。全年预算数为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353.96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万元，执行数为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353.96</w:t>
      </w:r>
      <w:r>
        <w:rPr>
          <w:rFonts w:ascii="仿宋" w:hAnsi="仿宋" w:eastAsia="仿宋" w:cs="仿宋"/>
          <w:spacing w:val="5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100%</w:t>
      </w:r>
      <w:r>
        <w:rPr>
          <w:rFonts w:ascii="仿宋" w:hAnsi="仿宋" w:eastAsia="仿宋" w:cs="仿宋"/>
          <w:spacing w:val="5"/>
          <w:sz w:val="31"/>
          <w:szCs w:val="31"/>
        </w:rPr>
        <w:t>。项目绩效目标完成情况：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5"/>
          <w:sz w:val="31"/>
          <w:szCs w:val="31"/>
        </w:rPr>
        <w:t>年我院</w:t>
      </w:r>
      <w:r>
        <w:rPr>
          <w:rFonts w:ascii="仿宋" w:hAnsi="仿宋" w:eastAsia="仿宋" w:cs="仿宋"/>
          <w:spacing w:val="15"/>
          <w:sz w:val="31"/>
          <w:szCs w:val="31"/>
        </w:rPr>
        <w:t>刑事检察审查起诉案件数量为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234 </w:t>
      </w:r>
      <w:r>
        <w:rPr>
          <w:rFonts w:ascii="仿宋" w:hAnsi="仿宋" w:eastAsia="仿宋" w:cs="仿宋"/>
          <w:spacing w:val="15"/>
          <w:sz w:val="31"/>
          <w:szCs w:val="31"/>
        </w:rPr>
        <w:t>件，认罪认罚案件处理数量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262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件，委托物业服务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9"/>
          <w:sz w:val="31"/>
          <w:szCs w:val="31"/>
        </w:rPr>
        <w:t>季度，公务用车维护数量为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辆，认罪</w:t>
      </w:r>
      <w:r>
        <w:rPr>
          <w:rFonts w:ascii="仿宋" w:hAnsi="仿宋" w:eastAsia="仿宋" w:cs="仿宋"/>
          <w:spacing w:val="4"/>
          <w:sz w:val="31"/>
          <w:szCs w:val="31"/>
        </w:rPr>
        <w:t>认罚适用率为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90.34%</w:t>
      </w:r>
      <w:r>
        <w:rPr>
          <w:rFonts w:ascii="仿宋" w:hAnsi="仿宋" w:eastAsia="仿宋" w:cs="仿宋"/>
          <w:spacing w:val="4"/>
          <w:sz w:val="31"/>
          <w:szCs w:val="31"/>
        </w:rPr>
        <w:t>，公车维护合格率为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100%</w:t>
      </w:r>
      <w:r>
        <w:rPr>
          <w:rFonts w:ascii="仿宋" w:hAnsi="仿宋" w:eastAsia="仿宋" w:cs="仿宋"/>
          <w:spacing w:val="4"/>
          <w:sz w:val="31"/>
          <w:szCs w:val="31"/>
        </w:rPr>
        <w:t>，刑事</w:t>
      </w:r>
      <w:r>
        <w:rPr>
          <w:rFonts w:ascii="仿宋" w:hAnsi="仿宋" w:eastAsia="仿宋" w:cs="仿宋"/>
          <w:spacing w:val="3"/>
          <w:sz w:val="31"/>
          <w:szCs w:val="31"/>
        </w:rPr>
        <w:t>检察审查</w:t>
      </w:r>
      <w:r>
        <w:rPr>
          <w:rFonts w:ascii="仿宋" w:hAnsi="仿宋" w:eastAsia="仿宋" w:cs="仿宋"/>
          <w:spacing w:val="9"/>
          <w:sz w:val="31"/>
          <w:szCs w:val="31"/>
        </w:rPr>
        <w:t>起诉案件结案率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98.5%</w:t>
      </w:r>
      <w:r>
        <w:rPr>
          <w:rFonts w:ascii="仿宋" w:hAnsi="仿宋" w:eastAsia="仿宋" w:cs="仿宋"/>
          <w:spacing w:val="9"/>
          <w:sz w:val="31"/>
          <w:szCs w:val="31"/>
        </w:rPr>
        <w:t>，委托服务达标率为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100%</w:t>
      </w:r>
      <w:r>
        <w:rPr>
          <w:rFonts w:ascii="仿宋" w:hAnsi="仿宋" w:eastAsia="仿宋" w:cs="仿宋"/>
          <w:spacing w:val="9"/>
          <w:sz w:val="31"/>
          <w:szCs w:val="31"/>
        </w:rPr>
        <w:t>，受</w:t>
      </w:r>
      <w:r>
        <w:rPr>
          <w:rFonts w:ascii="仿宋" w:hAnsi="仿宋" w:eastAsia="仿宋" w:cs="仿宋"/>
          <w:spacing w:val="8"/>
          <w:sz w:val="31"/>
          <w:szCs w:val="31"/>
        </w:rPr>
        <w:t>理刑事检</w:t>
      </w:r>
      <w:r>
        <w:rPr>
          <w:rFonts w:ascii="仿宋" w:hAnsi="仿宋" w:eastAsia="仿宋" w:cs="仿宋"/>
          <w:spacing w:val="-1"/>
          <w:sz w:val="31"/>
          <w:szCs w:val="31"/>
        </w:rPr>
        <w:t>察案件及时率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，资金支付及时率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，满意度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99.5%</w:t>
      </w:r>
      <w:r>
        <w:rPr>
          <w:rFonts w:ascii="仿宋" w:hAnsi="仿宋" w:eastAsia="仿宋" w:cs="仿宋"/>
          <w:spacing w:val="-1"/>
          <w:sz w:val="31"/>
          <w:szCs w:val="31"/>
        </w:rPr>
        <w:t>，资</w:t>
      </w:r>
      <w:r>
        <w:rPr>
          <w:rFonts w:ascii="仿宋" w:hAnsi="仿宋" w:eastAsia="仿宋" w:cs="仿宋"/>
          <w:spacing w:val="5"/>
          <w:sz w:val="31"/>
          <w:szCs w:val="31"/>
        </w:rPr>
        <w:t>金支出不存在超支现象，达到预期指标值。发现的主要问题及原因：预算编制时，部分指标由于分配随意性大，难以细化到具体部门、单位使用情况，导致在执行时与年初预算略有偏差。下一</w:t>
      </w:r>
      <w:r>
        <w:rPr>
          <w:rFonts w:ascii="仿宋" w:hAnsi="仿宋" w:eastAsia="仿宋" w:cs="仿宋"/>
          <w:spacing w:val="11"/>
          <w:sz w:val="31"/>
          <w:szCs w:val="31"/>
        </w:rPr>
        <w:t>步改进措施：加强预算编制的科学性和前瞻性，完</w:t>
      </w:r>
      <w:r>
        <w:rPr>
          <w:rFonts w:ascii="仿宋" w:hAnsi="仿宋" w:eastAsia="仿宋" w:cs="仿宋"/>
          <w:spacing w:val="10"/>
          <w:sz w:val="31"/>
          <w:szCs w:val="31"/>
        </w:rPr>
        <w:t>善预算内容，</w:t>
      </w:r>
      <w:r>
        <w:rPr>
          <w:rFonts w:ascii="仿宋" w:hAnsi="仿宋" w:eastAsia="仿宋" w:cs="仿宋"/>
          <w:spacing w:val="3"/>
          <w:sz w:val="31"/>
          <w:szCs w:val="31"/>
        </w:rPr>
        <w:t>提高财务管理人员的业务水平，以及优化预算执行过程的管理等。</w:t>
      </w:r>
    </w:p>
    <w:p w14:paraId="6AC1D50B">
      <w:pPr>
        <w:spacing w:before="169" w:line="335" w:lineRule="auto"/>
        <w:ind w:left="13" w:right="7" w:firstLine="6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业务装备费项目自评综述：根据年初设定的绩效</w:t>
      </w:r>
      <w:r>
        <w:rPr>
          <w:rFonts w:ascii="仿宋" w:hAnsi="仿宋" w:eastAsia="仿宋" w:cs="仿宋"/>
          <w:spacing w:val="7"/>
          <w:sz w:val="31"/>
          <w:szCs w:val="31"/>
        </w:rPr>
        <w:t>目标，项</w:t>
      </w:r>
      <w:r>
        <w:rPr>
          <w:rFonts w:ascii="仿宋" w:hAnsi="仿宋" w:eastAsia="仿宋" w:cs="仿宋"/>
          <w:spacing w:val="2"/>
          <w:sz w:val="31"/>
          <w:szCs w:val="31"/>
        </w:rPr>
        <w:t>目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自评得分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100 </w:t>
      </w:r>
      <w:r>
        <w:rPr>
          <w:rFonts w:ascii="仿宋" w:hAnsi="仿宋" w:eastAsia="仿宋" w:cs="仿宋"/>
          <w:spacing w:val="2"/>
          <w:sz w:val="31"/>
          <w:szCs w:val="31"/>
        </w:rPr>
        <w:t>分。全年预算数为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36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万元，执行数为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8"/>
          <w:sz w:val="31"/>
          <w:szCs w:val="31"/>
        </w:rPr>
        <w:t>完成预算的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100%</w:t>
      </w:r>
      <w:r>
        <w:rPr>
          <w:rFonts w:ascii="仿宋" w:hAnsi="仿宋" w:eastAsia="仿宋" w:cs="仿宋"/>
          <w:spacing w:val="8"/>
          <w:sz w:val="31"/>
          <w:szCs w:val="31"/>
        </w:rPr>
        <w:t>。项目绩效目标完成情况：全年实际通</w:t>
      </w:r>
      <w:r>
        <w:rPr>
          <w:rFonts w:ascii="仿宋" w:hAnsi="仿宋" w:eastAsia="仿宋" w:cs="仿宋"/>
          <w:spacing w:val="7"/>
          <w:sz w:val="31"/>
          <w:szCs w:val="31"/>
        </w:rPr>
        <w:t>用设备</w:t>
      </w:r>
      <w:r>
        <w:rPr>
          <w:rFonts w:ascii="仿宋" w:hAnsi="仿宋" w:eastAsia="仿宋" w:cs="仿宋"/>
          <w:spacing w:val="-8"/>
          <w:sz w:val="31"/>
          <w:szCs w:val="31"/>
        </w:rPr>
        <w:t>采购数量为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33</w:t>
      </w:r>
      <w:r>
        <w:rPr>
          <w:rFonts w:ascii="Times New Roman" w:hAnsi="Times New Roman" w:eastAsia="Times New Roman" w:cs="Times New Roman"/>
          <w:spacing w:val="5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台，设备利用率为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100%</w:t>
      </w:r>
      <w:r>
        <w:rPr>
          <w:rFonts w:ascii="仿宋" w:hAnsi="仿宋" w:eastAsia="仿宋" w:cs="仿宋"/>
          <w:spacing w:val="-8"/>
          <w:sz w:val="31"/>
          <w:szCs w:val="31"/>
        </w:rPr>
        <w:t>，设备验收合</w:t>
      </w:r>
      <w:r>
        <w:rPr>
          <w:rFonts w:ascii="仿宋" w:hAnsi="仿宋" w:eastAsia="仿宋" w:cs="仿宋"/>
          <w:spacing w:val="-9"/>
          <w:sz w:val="31"/>
          <w:szCs w:val="31"/>
        </w:rPr>
        <w:t>格率为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100%</w:t>
      </w:r>
      <w:r>
        <w:rPr>
          <w:rFonts w:ascii="仿宋" w:hAnsi="仿宋" w:eastAsia="仿宋" w:cs="仿宋"/>
          <w:spacing w:val="-9"/>
          <w:sz w:val="31"/>
          <w:szCs w:val="31"/>
        </w:rPr>
        <w:t>，</w:t>
      </w:r>
    </w:p>
    <w:p w14:paraId="076061C9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1431" w:right="1223" w:bottom="1091" w:left="1596" w:header="0" w:footer="929" w:gutter="0"/>
          <w:cols w:space="720" w:num="1"/>
        </w:sectPr>
      </w:pPr>
    </w:p>
    <w:p w14:paraId="0C65160D">
      <w:pPr>
        <w:pStyle w:val="2"/>
        <w:spacing w:line="358" w:lineRule="auto"/>
      </w:pPr>
    </w:p>
    <w:p w14:paraId="2DE2B8A9">
      <w:pPr>
        <w:pStyle w:val="2"/>
        <w:spacing w:line="359" w:lineRule="auto"/>
      </w:pPr>
    </w:p>
    <w:p w14:paraId="320AD462">
      <w:pPr>
        <w:spacing w:before="101" w:line="360" w:lineRule="auto"/>
        <w:ind w:left="570" w:right="41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设备故障率为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0%</w:t>
      </w:r>
      <w:r>
        <w:rPr>
          <w:rFonts w:ascii="仿宋" w:hAnsi="仿宋" w:eastAsia="仿宋" w:cs="仿宋"/>
          <w:spacing w:val="12"/>
          <w:sz w:val="31"/>
          <w:szCs w:val="31"/>
        </w:rPr>
        <w:t>，设备采购及时率为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100%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11"/>
          <w:sz w:val="31"/>
          <w:szCs w:val="31"/>
        </w:rPr>
        <w:t>设备维修及时率</w:t>
      </w:r>
      <w:r>
        <w:rPr>
          <w:rFonts w:ascii="仿宋" w:hAnsi="仿宋" w:eastAsia="仿宋" w:cs="仿宋"/>
          <w:spacing w:val="9"/>
          <w:sz w:val="31"/>
          <w:szCs w:val="31"/>
        </w:rPr>
        <w:t>为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100%</w:t>
      </w:r>
      <w:r>
        <w:rPr>
          <w:rFonts w:ascii="仿宋" w:hAnsi="仿宋" w:eastAsia="仿宋" w:cs="仿宋"/>
          <w:spacing w:val="9"/>
          <w:sz w:val="31"/>
          <w:szCs w:val="31"/>
        </w:rPr>
        <w:t>，资金支出不存在超支现象，满意度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8.5%</w:t>
      </w:r>
      <w:r>
        <w:rPr>
          <w:rFonts w:ascii="仿宋" w:hAnsi="仿宋" w:eastAsia="仿宋" w:cs="仿宋"/>
          <w:spacing w:val="8"/>
          <w:sz w:val="31"/>
          <w:szCs w:val="31"/>
        </w:rPr>
        <w:t>。发现的主</w:t>
      </w:r>
      <w:r>
        <w:rPr>
          <w:rFonts w:ascii="仿宋" w:hAnsi="仿宋" w:eastAsia="仿宋" w:cs="仿宋"/>
          <w:spacing w:val="5"/>
          <w:sz w:val="31"/>
          <w:szCs w:val="31"/>
        </w:rPr>
        <w:t>要问题及原因：预算编制时，部分指标由于分配随意性大，难以细化到具体部门使用情况，导致在执行时与年初采购项目计划略有偏差。下一步改进措施：我院将根据工作需求和实际情况，制</w:t>
      </w:r>
      <w:r>
        <w:rPr>
          <w:rFonts w:ascii="仿宋" w:hAnsi="仿宋" w:eastAsia="仿宋" w:cs="仿宋"/>
          <w:spacing w:val="-3"/>
          <w:sz w:val="31"/>
          <w:szCs w:val="31"/>
        </w:rPr>
        <w:t>定设备更新和升级计划，逐步淘汰老旧设备，引入新设备和技术。</w:t>
      </w:r>
      <w:r>
        <w:rPr>
          <w:rFonts w:ascii="仿宋" w:hAnsi="仿宋" w:eastAsia="仿宋" w:cs="仿宋"/>
          <w:spacing w:val="5"/>
          <w:sz w:val="31"/>
          <w:szCs w:val="31"/>
        </w:rPr>
        <w:t>加强与设备供应商的合作与交流，共同推动设备的更新和升级工</w:t>
      </w:r>
      <w:r>
        <w:rPr>
          <w:rFonts w:ascii="仿宋" w:hAnsi="仿宋" w:eastAsia="仿宋" w:cs="仿宋"/>
          <w:spacing w:val="-2"/>
          <w:sz w:val="31"/>
          <w:szCs w:val="31"/>
        </w:rPr>
        <w:t>作。</w:t>
      </w:r>
    </w:p>
    <w:tbl>
      <w:tblPr>
        <w:tblStyle w:val="5"/>
        <w:tblW w:w="9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630"/>
        <w:gridCol w:w="967"/>
        <w:gridCol w:w="1281"/>
        <w:gridCol w:w="600"/>
        <w:gridCol w:w="675"/>
        <w:gridCol w:w="698"/>
        <w:gridCol w:w="771"/>
        <w:gridCol w:w="658"/>
        <w:gridCol w:w="595"/>
        <w:gridCol w:w="704"/>
        <w:gridCol w:w="1361"/>
      </w:tblGrid>
      <w:tr w14:paraId="4E321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904" w:type="dxa"/>
            <w:gridSpan w:val="12"/>
            <w:vAlign w:val="top"/>
          </w:tcPr>
          <w:p w14:paraId="750C8764">
            <w:pPr>
              <w:pStyle w:val="6"/>
              <w:spacing w:before="115" w:line="221" w:lineRule="auto"/>
              <w:ind w:left="3164"/>
              <w:rPr>
                <w:sz w:val="40"/>
                <w:szCs w:val="40"/>
              </w:rPr>
            </w:pPr>
            <w:r>
              <w:rPr>
                <w:b/>
                <w:bCs/>
                <w:spacing w:val="-6"/>
                <w:sz w:val="40"/>
                <w:szCs w:val="40"/>
              </w:rPr>
              <w:t>项目支出绩效自评表</w:t>
            </w:r>
          </w:p>
          <w:p w14:paraId="4F980B81">
            <w:pPr>
              <w:pStyle w:val="6"/>
              <w:spacing w:before="145" w:line="220" w:lineRule="auto"/>
              <w:ind w:left="3879"/>
              <w:rPr>
                <w:sz w:val="40"/>
                <w:szCs w:val="40"/>
              </w:rPr>
            </w:pPr>
            <w:r>
              <w:rPr>
                <w:b/>
                <w:bCs/>
                <w:spacing w:val="-17"/>
                <w:sz w:val="40"/>
                <w:szCs w:val="40"/>
              </w:rPr>
              <w:t>(2024</w:t>
            </w:r>
            <w:r>
              <w:rPr>
                <w:spacing w:val="-77"/>
                <w:sz w:val="40"/>
                <w:szCs w:val="40"/>
              </w:rPr>
              <w:t xml:space="preserve"> </w:t>
            </w:r>
            <w:r>
              <w:rPr>
                <w:b/>
                <w:bCs/>
                <w:spacing w:val="-17"/>
                <w:sz w:val="40"/>
                <w:szCs w:val="40"/>
              </w:rPr>
              <w:t>年度）</w:t>
            </w:r>
          </w:p>
        </w:tc>
      </w:tr>
      <w:tr w14:paraId="55317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94" w:type="dxa"/>
            <w:gridSpan w:val="2"/>
            <w:vAlign w:val="top"/>
          </w:tcPr>
          <w:p w14:paraId="771ADA30">
            <w:pPr>
              <w:pStyle w:val="6"/>
              <w:spacing w:before="103" w:line="220" w:lineRule="auto"/>
              <w:ind w:left="771"/>
            </w:pPr>
            <w:r>
              <w:rPr>
                <w:spacing w:val="-3"/>
              </w:rPr>
              <w:t>项目名称</w:t>
            </w:r>
          </w:p>
        </w:tc>
        <w:tc>
          <w:tcPr>
            <w:tcW w:w="8310" w:type="dxa"/>
            <w:gridSpan w:val="10"/>
            <w:vAlign w:val="top"/>
          </w:tcPr>
          <w:p w14:paraId="32017FF2">
            <w:pPr>
              <w:pStyle w:val="6"/>
              <w:spacing w:before="103" w:line="219" w:lineRule="auto"/>
              <w:ind w:left="114"/>
            </w:pPr>
            <w:r>
              <w:rPr>
                <w:spacing w:val="-2"/>
              </w:rPr>
              <w:t>办案（业务）经费</w:t>
            </w:r>
          </w:p>
        </w:tc>
      </w:tr>
      <w:tr w14:paraId="0692A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94" w:type="dxa"/>
            <w:gridSpan w:val="2"/>
            <w:vAlign w:val="top"/>
          </w:tcPr>
          <w:p w14:paraId="70C2E074">
            <w:pPr>
              <w:pStyle w:val="6"/>
              <w:spacing w:before="102" w:line="219" w:lineRule="auto"/>
              <w:ind w:left="770"/>
            </w:pPr>
            <w:r>
              <w:rPr>
                <w:spacing w:val="-3"/>
              </w:rPr>
              <w:t>主管部门</w:t>
            </w:r>
          </w:p>
        </w:tc>
        <w:tc>
          <w:tcPr>
            <w:tcW w:w="3523" w:type="dxa"/>
            <w:gridSpan w:val="4"/>
            <w:vAlign w:val="top"/>
          </w:tcPr>
          <w:p w14:paraId="3DFD6430">
            <w:pPr>
              <w:pStyle w:val="6"/>
              <w:spacing w:before="102" w:line="219" w:lineRule="auto"/>
              <w:ind w:left="110"/>
            </w:pPr>
            <w:r>
              <w:rPr>
                <w:spacing w:val="-1"/>
              </w:rPr>
              <w:t>杭锦旗人民检察院部门</w:t>
            </w:r>
          </w:p>
        </w:tc>
        <w:tc>
          <w:tcPr>
            <w:tcW w:w="1469" w:type="dxa"/>
            <w:gridSpan w:val="2"/>
            <w:vAlign w:val="top"/>
          </w:tcPr>
          <w:p w14:paraId="5C921DFE">
            <w:pPr>
              <w:pStyle w:val="6"/>
              <w:spacing w:before="101" w:line="220" w:lineRule="auto"/>
              <w:ind w:left="650"/>
            </w:pPr>
            <w:r>
              <w:rPr>
                <w:spacing w:val="-3"/>
              </w:rPr>
              <w:t>实施单位</w:t>
            </w:r>
          </w:p>
        </w:tc>
        <w:tc>
          <w:tcPr>
            <w:tcW w:w="3318" w:type="dxa"/>
            <w:gridSpan w:val="4"/>
            <w:vAlign w:val="top"/>
          </w:tcPr>
          <w:p w14:paraId="1B75B16F">
            <w:pPr>
              <w:pStyle w:val="6"/>
              <w:spacing w:before="102" w:line="219" w:lineRule="auto"/>
              <w:ind w:left="112"/>
            </w:pPr>
            <w:r>
              <w:rPr>
                <w:spacing w:val="-1"/>
              </w:rPr>
              <w:t>杭锦旗人民检察院</w:t>
            </w:r>
          </w:p>
        </w:tc>
      </w:tr>
      <w:tr w14:paraId="36B0D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94" w:type="dxa"/>
            <w:gridSpan w:val="2"/>
            <w:vMerge w:val="restart"/>
            <w:tcBorders>
              <w:bottom w:val="nil"/>
            </w:tcBorders>
            <w:vAlign w:val="top"/>
          </w:tcPr>
          <w:p w14:paraId="7EE50D64">
            <w:pPr>
              <w:spacing w:line="256" w:lineRule="auto"/>
              <w:rPr>
                <w:rFonts w:ascii="Arial"/>
                <w:sz w:val="21"/>
              </w:rPr>
            </w:pPr>
          </w:p>
          <w:p w14:paraId="5FFCE40C">
            <w:pPr>
              <w:spacing w:line="257" w:lineRule="auto"/>
              <w:rPr>
                <w:rFonts w:ascii="Arial"/>
                <w:sz w:val="21"/>
              </w:rPr>
            </w:pPr>
          </w:p>
          <w:p w14:paraId="549015A6">
            <w:pPr>
              <w:spacing w:line="257" w:lineRule="auto"/>
              <w:rPr>
                <w:rFonts w:ascii="Arial"/>
                <w:sz w:val="21"/>
              </w:rPr>
            </w:pPr>
          </w:p>
          <w:p w14:paraId="6BA455DB">
            <w:pPr>
              <w:spacing w:line="257" w:lineRule="auto"/>
              <w:rPr>
                <w:rFonts w:ascii="Arial"/>
                <w:sz w:val="21"/>
              </w:rPr>
            </w:pPr>
          </w:p>
          <w:p w14:paraId="63EE5DE8">
            <w:pPr>
              <w:pStyle w:val="6"/>
              <w:spacing w:before="59" w:line="322" w:lineRule="auto"/>
              <w:ind w:left="451" w:right="433" w:hanging="6"/>
            </w:pPr>
            <w:r>
              <w:rPr>
                <w:spacing w:val="-3"/>
              </w:rPr>
              <w:t>项目资金</w:t>
            </w:r>
            <w:r>
              <w:rPr>
                <w:spacing w:val="-5"/>
              </w:rPr>
              <w:t>（万元）</w:t>
            </w:r>
          </w:p>
        </w:tc>
        <w:tc>
          <w:tcPr>
            <w:tcW w:w="967" w:type="dxa"/>
            <w:vAlign w:val="top"/>
          </w:tcPr>
          <w:p w14:paraId="7B9D2C9B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6AB052D9">
            <w:pPr>
              <w:pStyle w:val="6"/>
              <w:spacing w:before="103" w:line="219" w:lineRule="auto"/>
              <w:ind w:left="195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275" w:type="dxa"/>
            <w:gridSpan w:val="2"/>
            <w:vAlign w:val="top"/>
          </w:tcPr>
          <w:p w14:paraId="4A2ED304">
            <w:pPr>
              <w:pStyle w:val="6"/>
              <w:spacing w:before="103" w:line="219" w:lineRule="auto"/>
              <w:ind w:left="191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469" w:type="dxa"/>
            <w:gridSpan w:val="2"/>
            <w:vAlign w:val="top"/>
          </w:tcPr>
          <w:p w14:paraId="6F09D82B">
            <w:pPr>
              <w:pStyle w:val="6"/>
              <w:spacing w:before="103" w:line="219" w:lineRule="auto"/>
              <w:ind w:left="288"/>
            </w:pPr>
            <w:r>
              <w:rPr>
                <w:spacing w:val="-2"/>
              </w:rPr>
              <w:t>全年执行数</w:t>
            </w:r>
          </w:p>
        </w:tc>
        <w:tc>
          <w:tcPr>
            <w:tcW w:w="658" w:type="dxa"/>
            <w:vAlign w:val="top"/>
          </w:tcPr>
          <w:p w14:paraId="23B3E5D8">
            <w:pPr>
              <w:pStyle w:val="6"/>
              <w:spacing w:before="103" w:line="219" w:lineRule="auto"/>
              <w:ind w:left="156"/>
            </w:pPr>
            <w:r>
              <w:rPr>
                <w:spacing w:val="-5"/>
              </w:rPr>
              <w:t>分值</w:t>
            </w:r>
          </w:p>
        </w:tc>
        <w:tc>
          <w:tcPr>
            <w:tcW w:w="1299" w:type="dxa"/>
            <w:gridSpan w:val="2"/>
            <w:vAlign w:val="top"/>
          </w:tcPr>
          <w:p w14:paraId="02BD7CE8">
            <w:pPr>
              <w:pStyle w:val="6"/>
              <w:spacing w:before="103" w:line="219" w:lineRule="auto"/>
              <w:ind w:left="161"/>
            </w:pPr>
            <w:r>
              <w:rPr>
                <w:spacing w:val="-2"/>
              </w:rPr>
              <w:t>执行率（%）</w:t>
            </w:r>
          </w:p>
        </w:tc>
        <w:tc>
          <w:tcPr>
            <w:tcW w:w="1361" w:type="dxa"/>
            <w:vAlign w:val="top"/>
          </w:tcPr>
          <w:p w14:paraId="7A7CD9A4">
            <w:pPr>
              <w:pStyle w:val="6"/>
              <w:spacing w:before="103" w:line="219" w:lineRule="auto"/>
              <w:ind w:left="504"/>
            </w:pPr>
            <w:r>
              <w:rPr>
                <w:spacing w:val="-4"/>
              </w:rPr>
              <w:t>得分</w:t>
            </w:r>
          </w:p>
        </w:tc>
      </w:tr>
      <w:tr w14:paraId="75F98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032AC3D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45865531">
            <w:pPr>
              <w:pStyle w:val="6"/>
              <w:spacing w:before="68" w:line="282" w:lineRule="auto"/>
              <w:ind w:left="312" w:right="121" w:hanging="184"/>
            </w:pPr>
            <w:r>
              <w:rPr>
                <w:spacing w:val="-2"/>
              </w:rPr>
              <w:t>年度资金</w:t>
            </w:r>
            <w:r>
              <w:rPr>
                <w:spacing w:val="-6"/>
              </w:rPr>
              <w:t>总额</w:t>
            </w:r>
          </w:p>
        </w:tc>
        <w:tc>
          <w:tcPr>
            <w:tcW w:w="1281" w:type="dxa"/>
            <w:vAlign w:val="top"/>
          </w:tcPr>
          <w:p w14:paraId="5F45B520">
            <w:pPr>
              <w:pStyle w:val="6"/>
              <w:spacing w:before="223"/>
              <w:ind w:left="114"/>
            </w:pPr>
            <w:r>
              <w:rPr>
                <w:spacing w:val="-4"/>
              </w:rPr>
              <w:t>304</w:t>
            </w:r>
          </w:p>
        </w:tc>
        <w:tc>
          <w:tcPr>
            <w:tcW w:w="1275" w:type="dxa"/>
            <w:gridSpan w:val="2"/>
            <w:vAlign w:val="top"/>
          </w:tcPr>
          <w:p w14:paraId="1218FAE9">
            <w:pPr>
              <w:pStyle w:val="6"/>
              <w:spacing w:before="223" w:line="239" w:lineRule="auto"/>
              <w:ind w:left="374"/>
            </w:pPr>
            <w:r>
              <w:rPr>
                <w:spacing w:val="-2"/>
              </w:rPr>
              <w:t>353.96</w:t>
            </w:r>
          </w:p>
        </w:tc>
        <w:tc>
          <w:tcPr>
            <w:tcW w:w="1469" w:type="dxa"/>
            <w:gridSpan w:val="2"/>
            <w:vAlign w:val="top"/>
          </w:tcPr>
          <w:p w14:paraId="6D42517A">
            <w:pPr>
              <w:pStyle w:val="6"/>
              <w:spacing w:before="223" w:line="239" w:lineRule="auto"/>
              <w:ind w:left="472"/>
            </w:pPr>
            <w:r>
              <w:rPr>
                <w:spacing w:val="-2"/>
              </w:rPr>
              <w:t>353.96</w:t>
            </w:r>
          </w:p>
        </w:tc>
        <w:tc>
          <w:tcPr>
            <w:tcW w:w="658" w:type="dxa"/>
            <w:vAlign w:val="top"/>
          </w:tcPr>
          <w:p w14:paraId="28A22AE6">
            <w:pPr>
              <w:pStyle w:val="6"/>
              <w:spacing w:before="223"/>
              <w:ind w:left="258"/>
            </w:pPr>
            <w:r>
              <w:rPr>
                <w:spacing w:val="-10"/>
              </w:rPr>
              <w:t>10</w:t>
            </w:r>
          </w:p>
        </w:tc>
        <w:tc>
          <w:tcPr>
            <w:tcW w:w="1299" w:type="dxa"/>
            <w:gridSpan w:val="2"/>
            <w:vAlign w:val="top"/>
          </w:tcPr>
          <w:p w14:paraId="1DB8D1D9">
            <w:pPr>
              <w:pStyle w:val="6"/>
              <w:spacing w:before="223"/>
              <w:ind w:left="534"/>
            </w:pPr>
            <w:r>
              <w:rPr>
                <w:spacing w:val="-7"/>
              </w:rPr>
              <w:t>100</w:t>
            </w:r>
          </w:p>
        </w:tc>
        <w:tc>
          <w:tcPr>
            <w:tcW w:w="1361" w:type="dxa"/>
            <w:vAlign w:val="top"/>
          </w:tcPr>
          <w:p w14:paraId="5519C435">
            <w:pPr>
              <w:pStyle w:val="6"/>
              <w:spacing w:before="223"/>
              <w:ind w:left="608"/>
            </w:pPr>
            <w:r>
              <w:rPr>
                <w:spacing w:val="-10"/>
              </w:rPr>
              <w:t>10</w:t>
            </w:r>
          </w:p>
        </w:tc>
      </w:tr>
      <w:tr w14:paraId="7847A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627D373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283CFE67">
            <w:pPr>
              <w:pStyle w:val="6"/>
              <w:spacing w:before="68" w:line="282" w:lineRule="auto"/>
              <w:ind w:left="110" w:right="138" w:firstLine="1"/>
            </w:pPr>
            <w:r>
              <w:rPr>
                <w:spacing w:val="-2"/>
              </w:rPr>
              <w:t>其中：财</w:t>
            </w:r>
            <w:r>
              <w:rPr>
                <w:spacing w:val="-3"/>
              </w:rPr>
              <w:t>政拨款</w:t>
            </w:r>
          </w:p>
        </w:tc>
        <w:tc>
          <w:tcPr>
            <w:tcW w:w="1281" w:type="dxa"/>
            <w:vAlign w:val="top"/>
          </w:tcPr>
          <w:p w14:paraId="10175D89">
            <w:pPr>
              <w:pStyle w:val="6"/>
              <w:spacing w:before="224"/>
              <w:ind w:left="114"/>
            </w:pPr>
            <w:r>
              <w:rPr>
                <w:spacing w:val="-4"/>
              </w:rPr>
              <w:t>304</w:t>
            </w:r>
          </w:p>
        </w:tc>
        <w:tc>
          <w:tcPr>
            <w:tcW w:w="1275" w:type="dxa"/>
            <w:gridSpan w:val="2"/>
            <w:vAlign w:val="top"/>
          </w:tcPr>
          <w:p w14:paraId="1CC27982">
            <w:pPr>
              <w:pStyle w:val="6"/>
              <w:spacing w:before="224" w:line="239" w:lineRule="auto"/>
              <w:ind w:left="374"/>
            </w:pPr>
            <w:r>
              <w:rPr>
                <w:spacing w:val="-2"/>
              </w:rPr>
              <w:t>353.96</w:t>
            </w:r>
          </w:p>
        </w:tc>
        <w:tc>
          <w:tcPr>
            <w:tcW w:w="1469" w:type="dxa"/>
            <w:gridSpan w:val="2"/>
            <w:vAlign w:val="top"/>
          </w:tcPr>
          <w:p w14:paraId="7A1C01DB">
            <w:pPr>
              <w:pStyle w:val="6"/>
              <w:spacing w:before="224" w:line="239" w:lineRule="auto"/>
              <w:ind w:left="472"/>
            </w:pPr>
            <w:r>
              <w:rPr>
                <w:spacing w:val="-2"/>
              </w:rPr>
              <w:t>353.96</w:t>
            </w:r>
          </w:p>
        </w:tc>
        <w:tc>
          <w:tcPr>
            <w:tcW w:w="658" w:type="dxa"/>
            <w:vAlign w:val="top"/>
          </w:tcPr>
          <w:p w14:paraId="7172D095">
            <w:pPr>
              <w:spacing w:line="271" w:lineRule="auto"/>
              <w:rPr>
                <w:rFonts w:ascii="Arial"/>
                <w:sz w:val="21"/>
              </w:rPr>
            </w:pPr>
          </w:p>
          <w:p w14:paraId="234CE049">
            <w:pPr>
              <w:spacing w:before="52" w:line="92" w:lineRule="exact"/>
              <w:ind w:left="13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  <w:tc>
          <w:tcPr>
            <w:tcW w:w="1299" w:type="dxa"/>
            <w:gridSpan w:val="2"/>
            <w:vAlign w:val="top"/>
          </w:tcPr>
          <w:p w14:paraId="0B1E2871">
            <w:pPr>
              <w:pStyle w:val="6"/>
              <w:spacing w:before="224"/>
              <w:ind w:left="534"/>
            </w:pPr>
            <w:r>
              <w:rPr>
                <w:spacing w:val="-7"/>
              </w:rPr>
              <w:t>100</w:t>
            </w:r>
          </w:p>
        </w:tc>
        <w:tc>
          <w:tcPr>
            <w:tcW w:w="1361" w:type="dxa"/>
            <w:vAlign w:val="top"/>
          </w:tcPr>
          <w:p w14:paraId="4BE8154B">
            <w:pPr>
              <w:spacing w:line="271" w:lineRule="auto"/>
              <w:rPr>
                <w:rFonts w:ascii="Arial"/>
                <w:sz w:val="21"/>
              </w:rPr>
            </w:pPr>
          </w:p>
          <w:p w14:paraId="6ED4237D">
            <w:pPr>
              <w:spacing w:before="52" w:line="92" w:lineRule="exact"/>
              <w:ind w:left="4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14:paraId="7C91F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A240E2C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0D094676">
            <w:pPr>
              <w:pStyle w:val="6"/>
              <w:spacing w:before="70" w:line="281" w:lineRule="auto"/>
              <w:ind w:left="315" w:right="121" w:hanging="186"/>
            </w:pPr>
            <w:r>
              <w:rPr>
                <w:spacing w:val="-3"/>
              </w:rPr>
              <w:t>上年结转</w:t>
            </w:r>
            <w:r>
              <w:rPr>
                <w:spacing w:val="-8"/>
              </w:rPr>
              <w:t>资金</w:t>
            </w:r>
          </w:p>
        </w:tc>
        <w:tc>
          <w:tcPr>
            <w:tcW w:w="1281" w:type="dxa"/>
            <w:vAlign w:val="top"/>
          </w:tcPr>
          <w:p w14:paraId="191EB44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223F67D4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gridSpan w:val="2"/>
            <w:vAlign w:val="top"/>
          </w:tcPr>
          <w:p w14:paraId="48109466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 w14:paraId="3CDD37C3">
            <w:pPr>
              <w:spacing w:line="274" w:lineRule="auto"/>
              <w:rPr>
                <w:rFonts w:ascii="Arial"/>
                <w:sz w:val="21"/>
              </w:rPr>
            </w:pPr>
          </w:p>
          <w:p w14:paraId="55ADB1D9">
            <w:pPr>
              <w:spacing w:before="52" w:line="92" w:lineRule="exact"/>
              <w:ind w:left="13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  <w:tc>
          <w:tcPr>
            <w:tcW w:w="1299" w:type="dxa"/>
            <w:gridSpan w:val="2"/>
            <w:vAlign w:val="top"/>
          </w:tcPr>
          <w:p w14:paraId="49695A17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0516274F">
            <w:pPr>
              <w:spacing w:line="274" w:lineRule="auto"/>
              <w:rPr>
                <w:rFonts w:ascii="Arial"/>
                <w:sz w:val="21"/>
              </w:rPr>
            </w:pPr>
          </w:p>
          <w:p w14:paraId="1B3D6822">
            <w:pPr>
              <w:spacing w:before="52" w:line="92" w:lineRule="exact"/>
              <w:ind w:left="4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14:paraId="00440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94" w:type="dxa"/>
            <w:gridSpan w:val="2"/>
            <w:vMerge w:val="continue"/>
            <w:tcBorders>
              <w:top w:val="nil"/>
            </w:tcBorders>
            <w:vAlign w:val="top"/>
          </w:tcPr>
          <w:p w14:paraId="1E5D9D7D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0DAD973A">
            <w:pPr>
              <w:pStyle w:val="6"/>
              <w:spacing w:before="106" w:line="220" w:lineRule="auto"/>
              <w:ind w:left="128"/>
            </w:pPr>
            <w:r>
              <w:rPr>
                <w:spacing w:val="-2"/>
              </w:rPr>
              <w:t>其他资金</w:t>
            </w:r>
          </w:p>
        </w:tc>
        <w:tc>
          <w:tcPr>
            <w:tcW w:w="1281" w:type="dxa"/>
            <w:vAlign w:val="top"/>
          </w:tcPr>
          <w:p w14:paraId="616C9E36">
            <w:pPr>
              <w:pStyle w:val="6"/>
              <w:spacing w:before="105"/>
              <w:ind w:left="112"/>
            </w:pPr>
            <w:r>
              <w:t>0</w:t>
            </w:r>
          </w:p>
        </w:tc>
        <w:tc>
          <w:tcPr>
            <w:tcW w:w="1275" w:type="dxa"/>
            <w:gridSpan w:val="2"/>
            <w:vAlign w:val="top"/>
          </w:tcPr>
          <w:p w14:paraId="5D523350">
            <w:pPr>
              <w:pStyle w:val="6"/>
              <w:spacing w:before="105"/>
              <w:ind w:left="598"/>
            </w:pPr>
            <w:r>
              <w:t>0</w:t>
            </w:r>
          </w:p>
        </w:tc>
        <w:tc>
          <w:tcPr>
            <w:tcW w:w="1469" w:type="dxa"/>
            <w:gridSpan w:val="2"/>
            <w:vAlign w:val="top"/>
          </w:tcPr>
          <w:p w14:paraId="332380C3">
            <w:pPr>
              <w:pStyle w:val="6"/>
              <w:spacing w:before="105"/>
              <w:ind w:left="695"/>
            </w:pPr>
            <w:r>
              <w:t>0</w:t>
            </w:r>
          </w:p>
        </w:tc>
        <w:tc>
          <w:tcPr>
            <w:tcW w:w="658" w:type="dxa"/>
            <w:vAlign w:val="top"/>
          </w:tcPr>
          <w:p w14:paraId="1A181E48">
            <w:pPr>
              <w:spacing w:before="206" w:line="92" w:lineRule="exact"/>
              <w:ind w:left="13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  <w:tc>
          <w:tcPr>
            <w:tcW w:w="1299" w:type="dxa"/>
            <w:gridSpan w:val="2"/>
            <w:vAlign w:val="top"/>
          </w:tcPr>
          <w:p w14:paraId="49F7AE2F">
            <w:pPr>
              <w:pStyle w:val="6"/>
              <w:spacing w:before="105"/>
              <w:ind w:left="611"/>
            </w:pPr>
            <w:r>
              <w:t>0</w:t>
            </w:r>
          </w:p>
        </w:tc>
        <w:tc>
          <w:tcPr>
            <w:tcW w:w="1361" w:type="dxa"/>
            <w:vAlign w:val="top"/>
          </w:tcPr>
          <w:p w14:paraId="0519964F">
            <w:pPr>
              <w:spacing w:before="206" w:line="92" w:lineRule="exact"/>
              <w:ind w:left="4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14:paraId="355E0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94" w:type="dxa"/>
            <w:gridSpan w:val="2"/>
            <w:vMerge w:val="restart"/>
            <w:tcBorders>
              <w:bottom w:val="nil"/>
            </w:tcBorders>
            <w:vAlign w:val="top"/>
          </w:tcPr>
          <w:p w14:paraId="70730AA6">
            <w:pPr>
              <w:spacing w:line="245" w:lineRule="auto"/>
              <w:rPr>
                <w:rFonts w:ascii="Arial"/>
                <w:sz w:val="21"/>
              </w:rPr>
            </w:pPr>
          </w:p>
          <w:p w14:paraId="085D18A7">
            <w:pPr>
              <w:spacing w:line="245" w:lineRule="auto"/>
              <w:rPr>
                <w:rFonts w:ascii="Arial"/>
                <w:sz w:val="21"/>
              </w:rPr>
            </w:pPr>
          </w:p>
          <w:p w14:paraId="3D52BFB9">
            <w:pPr>
              <w:spacing w:line="245" w:lineRule="auto"/>
              <w:rPr>
                <w:rFonts w:ascii="Arial"/>
                <w:sz w:val="21"/>
              </w:rPr>
            </w:pPr>
          </w:p>
          <w:p w14:paraId="5D135329">
            <w:pPr>
              <w:spacing w:line="246" w:lineRule="auto"/>
              <w:rPr>
                <w:rFonts w:ascii="Arial"/>
                <w:sz w:val="21"/>
              </w:rPr>
            </w:pPr>
          </w:p>
          <w:p w14:paraId="36DF7066">
            <w:pPr>
              <w:pStyle w:val="6"/>
              <w:spacing w:before="58" w:line="219" w:lineRule="auto"/>
              <w:ind w:left="263"/>
            </w:pPr>
            <w:r>
              <w:rPr>
                <w:spacing w:val="-2"/>
              </w:rPr>
              <w:t>年度总体目标</w:t>
            </w:r>
          </w:p>
        </w:tc>
        <w:tc>
          <w:tcPr>
            <w:tcW w:w="4221" w:type="dxa"/>
            <w:gridSpan w:val="5"/>
            <w:vAlign w:val="top"/>
          </w:tcPr>
          <w:p w14:paraId="62B42A9E">
            <w:pPr>
              <w:pStyle w:val="6"/>
              <w:spacing w:before="104" w:line="220" w:lineRule="auto"/>
              <w:ind w:left="1754"/>
            </w:pPr>
            <w:r>
              <w:rPr>
                <w:spacing w:val="-3"/>
              </w:rPr>
              <w:t>预期目标</w:t>
            </w:r>
          </w:p>
        </w:tc>
        <w:tc>
          <w:tcPr>
            <w:tcW w:w="4089" w:type="dxa"/>
            <w:gridSpan w:val="5"/>
            <w:vAlign w:val="top"/>
          </w:tcPr>
          <w:p w14:paraId="3B2A2DE5">
            <w:pPr>
              <w:pStyle w:val="6"/>
              <w:spacing w:before="105" w:line="219" w:lineRule="auto"/>
              <w:ind w:left="1512"/>
            </w:pPr>
            <w:r>
              <w:rPr>
                <w:spacing w:val="-2"/>
              </w:rPr>
              <w:t>实际完成情况</w:t>
            </w:r>
          </w:p>
        </w:tc>
      </w:tr>
      <w:tr w14:paraId="062EB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594" w:type="dxa"/>
            <w:gridSpan w:val="2"/>
            <w:vMerge w:val="continue"/>
            <w:tcBorders>
              <w:top w:val="nil"/>
            </w:tcBorders>
            <w:vAlign w:val="top"/>
          </w:tcPr>
          <w:p w14:paraId="2BE93576">
            <w:pPr>
              <w:rPr>
                <w:rFonts w:ascii="Arial"/>
                <w:sz w:val="21"/>
              </w:rPr>
            </w:pPr>
          </w:p>
        </w:tc>
        <w:tc>
          <w:tcPr>
            <w:tcW w:w="4221" w:type="dxa"/>
            <w:gridSpan w:val="5"/>
            <w:vAlign w:val="top"/>
          </w:tcPr>
          <w:p w14:paraId="64D05E19">
            <w:pPr>
              <w:pStyle w:val="6"/>
              <w:spacing w:before="228" w:line="219" w:lineRule="auto"/>
              <w:ind w:left="145"/>
            </w:pPr>
            <w:r>
              <w:rPr>
                <w:spacing w:val="-1"/>
              </w:rPr>
              <w:t>1.保障差旅费、印刷费、取暖费、物业管理费、公</w:t>
            </w:r>
          </w:p>
          <w:p w14:paraId="66E20E7A">
            <w:pPr>
              <w:pStyle w:val="6"/>
              <w:spacing w:before="98" w:line="219" w:lineRule="auto"/>
              <w:ind w:left="134"/>
            </w:pPr>
            <w:r>
              <w:t>务用车运行维护费、委托业务费、业务维修费</w:t>
            </w:r>
            <w:r>
              <w:rPr>
                <w:spacing w:val="-1"/>
              </w:rPr>
              <w:t>、培</w:t>
            </w:r>
          </w:p>
          <w:p w14:paraId="60C06251">
            <w:pPr>
              <w:pStyle w:val="6"/>
              <w:spacing w:before="98" w:line="219" w:lineRule="auto"/>
              <w:ind w:left="134"/>
            </w:pPr>
            <w:r>
              <w:rPr>
                <w:spacing w:val="-1"/>
              </w:rPr>
              <w:t>训费等支出。2.加强法律监督等职能。3.增加年度</w:t>
            </w:r>
          </w:p>
          <w:p w14:paraId="2435B6EE">
            <w:pPr>
              <w:pStyle w:val="6"/>
              <w:spacing w:before="98" w:line="219" w:lineRule="auto"/>
              <w:ind w:left="134"/>
            </w:pPr>
            <w:r>
              <w:rPr>
                <w:spacing w:val="-1"/>
              </w:rPr>
              <w:t>案件办理数量、减短案件办理时限、提升案件当事</w:t>
            </w:r>
          </w:p>
          <w:p w14:paraId="67249B9E">
            <w:pPr>
              <w:pStyle w:val="6"/>
              <w:spacing w:before="98" w:line="219" w:lineRule="auto"/>
              <w:ind w:left="1665"/>
            </w:pPr>
            <w:r>
              <w:rPr>
                <w:spacing w:val="-2"/>
              </w:rPr>
              <w:t>人满意度。</w:t>
            </w:r>
          </w:p>
        </w:tc>
        <w:tc>
          <w:tcPr>
            <w:tcW w:w="4089" w:type="dxa"/>
            <w:gridSpan w:val="5"/>
            <w:vAlign w:val="top"/>
          </w:tcPr>
          <w:p w14:paraId="72A32553">
            <w:pPr>
              <w:pStyle w:val="6"/>
              <w:spacing w:before="72" w:line="219" w:lineRule="auto"/>
              <w:ind w:left="113"/>
            </w:pPr>
            <w:r>
              <w:rPr>
                <w:spacing w:val="-3"/>
              </w:rPr>
              <w:t>2024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年度办案（业务）经费支出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353.96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万元，有</w:t>
            </w:r>
          </w:p>
          <w:p w14:paraId="2D014B5E">
            <w:pPr>
              <w:pStyle w:val="6"/>
              <w:spacing w:before="98" w:line="219" w:lineRule="auto"/>
              <w:ind w:left="115"/>
            </w:pPr>
            <w:r>
              <w:rPr>
                <w:spacing w:val="-5"/>
              </w:rPr>
              <w:t>效保障因检察业务需要而产生差旅费、印刷费、取</w:t>
            </w:r>
          </w:p>
          <w:p w14:paraId="246DE14A">
            <w:pPr>
              <w:pStyle w:val="6"/>
              <w:spacing w:before="98" w:line="219" w:lineRule="auto"/>
              <w:ind w:left="118"/>
            </w:pPr>
            <w:r>
              <w:rPr>
                <w:spacing w:val="-5"/>
              </w:rPr>
              <w:t>暖费、物业管理费、公务用车运行维护费、委托业</w:t>
            </w:r>
          </w:p>
          <w:p w14:paraId="13A089AC">
            <w:pPr>
              <w:pStyle w:val="6"/>
              <w:spacing w:before="98" w:line="219" w:lineRule="auto"/>
              <w:ind w:left="113"/>
            </w:pPr>
            <w:r>
              <w:rPr>
                <w:spacing w:val="-5"/>
              </w:rPr>
              <w:t>务费、业务维修费、培训费等各项支出。项目产出</w:t>
            </w:r>
          </w:p>
          <w:p w14:paraId="3F71AA2B">
            <w:pPr>
              <w:pStyle w:val="6"/>
              <w:spacing w:before="97" w:line="219" w:lineRule="auto"/>
              <w:ind w:left="112"/>
            </w:pPr>
            <w:r>
              <w:rPr>
                <w:spacing w:val="-5"/>
              </w:rPr>
              <w:t>情况基本能够符合年初设定目标，也能够按时完成</w:t>
            </w:r>
          </w:p>
          <w:p w14:paraId="63CA8F91">
            <w:pPr>
              <w:pStyle w:val="6"/>
              <w:spacing w:before="99" w:line="220" w:lineRule="auto"/>
              <w:ind w:left="1780"/>
            </w:pPr>
            <w:r>
              <w:rPr>
                <w:spacing w:val="-4"/>
              </w:rPr>
              <w:t>项目。</w:t>
            </w:r>
          </w:p>
        </w:tc>
      </w:tr>
      <w:tr w14:paraId="2BA99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64" w:type="dxa"/>
            <w:vAlign w:val="top"/>
          </w:tcPr>
          <w:p w14:paraId="43847275">
            <w:pPr>
              <w:pStyle w:val="6"/>
              <w:spacing w:before="229" w:line="220" w:lineRule="auto"/>
              <w:ind w:left="128"/>
            </w:pPr>
            <w:r>
              <w:rPr>
                <w:spacing w:val="-3"/>
              </w:rPr>
              <w:t>绩效指标</w:t>
            </w:r>
          </w:p>
        </w:tc>
        <w:tc>
          <w:tcPr>
            <w:tcW w:w="630" w:type="dxa"/>
            <w:vAlign w:val="top"/>
          </w:tcPr>
          <w:p w14:paraId="3FBBB6FB">
            <w:pPr>
              <w:pStyle w:val="6"/>
              <w:spacing w:before="73" w:line="221" w:lineRule="auto"/>
              <w:ind w:left="141"/>
            </w:pPr>
            <w:r>
              <w:rPr>
                <w:spacing w:val="-5"/>
              </w:rPr>
              <w:t>一级</w:t>
            </w:r>
          </w:p>
          <w:p w14:paraId="7C5359B5">
            <w:pPr>
              <w:pStyle w:val="6"/>
              <w:spacing w:before="96" w:line="220" w:lineRule="auto"/>
              <w:ind w:left="140"/>
            </w:pPr>
            <w:r>
              <w:rPr>
                <w:spacing w:val="-5"/>
              </w:rPr>
              <w:t>指标</w:t>
            </w:r>
          </w:p>
        </w:tc>
        <w:tc>
          <w:tcPr>
            <w:tcW w:w="967" w:type="dxa"/>
            <w:vAlign w:val="top"/>
          </w:tcPr>
          <w:p w14:paraId="39D80564">
            <w:pPr>
              <w:pStyle w:val="6"/>
              <w:spacing w:before="229" w:line="220" w:lineRule="auto"/>
              <w:ind w:left="130"/>
            </w:pPr>
            <w:r>
              <w:rPr>
                <w:spacing w:val="-3"/>
              </w:rPr>
              <w:t>二级指标</w:t>
            </w:r>
          </w:p>
        </w:tc>
        <w:tc>
          <w:tcPr>
            <w:tcW w:w="1281" w:type="dxa"/>
            <w:vAlign w:val="top"/>
          </w:tcPr>
          <w:p w14:paraId="56064DA7">
            <w:pPr>
              <w:pStyle w:val="6"/>
              <w:spacing w:before="229" w:line="220" w:lineRule="auto"/>
              <w:ind w:left="284"/>
            </w:pPr>
            <w:r>
              <w:rPr>
                <w:spacing w:val="-2"/>
              </w:rPr>
              <w:t>三级指标</w:t>
            </w:r>
          </w:p>
        </w:tc>
        <w:tc>
          <w:tcPr>
            <w:tcW w:w="600" w:type="dxa"/>
            <w:vAlign w:val="top"/>
          </w:tcPr>
          <w:p w14:paraId="777CC48A">
            <w:pPr>
              <w:pStyle w:val="6"/>
              <w:spacing w:before="73" w:line="220" w:lineRule="auto"/>
              <w:ind w:left="125"/>
            </w:pPr>
            <w:r>
              <w:rPr>
                <w:spacing w:val="-5"/>
              </w:rPr>
              <w:t>指标</w:t>
            </w:r>
          </w:p>
          <w:p w14:paraId="1FAF6182">
            <w:pPr>
              <w:pStyle w:val="6"/>
              <w:spacing w:before="97" w:line="220" w:lineRule="auto"/>
              <w:ind w:left="125"/>
            </w:pPr>
            <w:r>
              <w:rPr>
                <w:spacing w:val="-5"/>
              </w:rPr>
              <w:t>性质</w:t>
            </w:r>
          </w:p>
        </w:tc>
        <w:tc>
          <w:tcPr>
            <w:tcW w:w="675" w:type="dxa"/>
            <w:vAlign w:val="top"/>
          </w:tcPr>
          <w:p w14:paraId="4CA03788">
            <w:pPr>
              <w:pStyle w:val="6"/>
              <w:spacing w:before="73" w:line="220" w:lineRule="auto"/>
              <w:ind w:left="164"/>
            </w:pPr>
            <w:r>
              <w:rPr>
                <w:spacing w:val="-5"/>
              </w:rPr>
              <w:t>指标</w:t>
            </w:r>
          </w:p>
          <w:p w14:paraId="7C3868E3">
            <w:pPr>
              <w:pStyle w:val="6"/>
              <w:spacing w:before="97" w:line="221" w:lineRule="auto"/>
              <w:ind w:left="162"/>
            </w:pPr>
            <w:r>
              <w:rPr>
                <w:spacing w:val="-4"/>
              </w:rPr>
              <w:t>方向</w:t>
            </w:r>
          </w:p>
        </w:tc>
        <w:tc>
          <w:tcPr>
            <w:tcW w:w="698" w:type="dxa"/>
            <w:vAlign w:val="top"/>
          </w:tcPr>
          <w:p w14:paraId="2B8F31DF">
            <w:pPr>
              <w:pStyle w:val="6"/>
              <w:spacing w:before="73" w:line="219" w:lineRule="auto"/>
              <w:ind w:left="174"/>
            </w:pPr>
            <w:r>
              <w:rPr>
                <w:spacing w:val="-4"/>
              </w:rPr>
              <w:t>年度</w:t>
            </w:r>
          </w:p>
          <w:p w14:paraId="1125DDD0">
            <w:pPr>
              <w:pStyle w:val="6"/>
              <w:spacing w:before="98" w:line="220" w:lineRule="auto"/>
              <w:ind w:left="175"/>
            </w:pPr>
            <w:r>
              <w:rPr>
                <w:spacing w:val="-5"/>
              </w:rPr>
              <w:t>指标</w:t>
            </w:r>
          </w:p>
        </w:tc>
        <w:tc>
          <w:tcPr>
            <w:tcW w:w="771" w:type="dxa"/>
            <w:vAlign w:val="top"/>
          </w:tcPr>
          <w:p w14:paraId="6E5115CD">
            <w:pPr>
              <w:pStyle w:val="6"/>
              <w:spacing w:before="73" w:line="281" w:lineRule="auto"/>
              <w:ind w:left="210" w:right="111" w:hanging="85"/>
            </w:pPr>
            <w:r>
              <w:rPr>
                <w:spacing w:val="-4"/>
              </w:rPr>
              <w:t>实际完</w:t>
            </w:r>
            <w:r>
              <w:rPr>
                <w:spacing w:val="-5"/>
              </w:rPr>
              <w:t>成值</w:t>
            </w:r>
          </w:p>
        </w:tc>
        <w:tc>
          <w:tcPr>
            <w:tcW w:w="658" w:type="dxa"/>
            <w:vAlign w:val="top"/>
          </w:tcPr>
          <w:p w14:paraId="58486A90">
            <w:pPr>
              <w:pStyle w:val="6"/>
              <w:spacing w:before="72" w:line="221" w:lineRule="auto"/>
              <w:ind w:left="154"/>
            </w:pPr>
            <w:r>
              <w:rPr>
                <w:spacing w:val="-4"/>
              </w:rPr>
              <w:t>计量</w:t>
            </w:r>
          </w:p>
          <w:p w14:paraId="52243680">
            <w:pPr>
              <w:pStyle w:val="6"/>
              <w:spacing w:before="96" w:line="220" w:lineRule="auto"/>
              <w:ind w:left="155"/>
            </w:pPr>
            <w:r>
              <w:rPr>
                <w:spacing w:val="-5"/>
              </w:rPr>
              <w:t>单位</w:t>
            </w:r>
          </w:p>
        </w:tc>
        <w:tc>
          <w:tcPr>
            <w:tcW w:w="595" w:type="dxa"/>
            <w:vAlign w:val="top"/>
          </w:tcPr>
          <w:p w14:paraId="33851135">
            <w:pPr>
              <w:pStyle w:val="6"/>
              <w:spacing w:before="229" w:line="219" w:lineRule="auto"/>
              <w:ind w:left="124"/>
            </w:pPr>
            <w:r>
              <w:rPr>
                <w:spacing w:val="-5"/>
              </w:rPr>
              <w:t>分值</w:t>
            </w:r>
          </w:p>
        </w:tc>
        <w:tc>
          <w:tcPr>
            <w:tcW w:w="704" w:type="dxa"/>
            <w:vAlign w:val="top"/>
          </w:tcPr>
          <w:p w14:paraId="7CED7281">
            <w:pPr>
              <w:pStyle w:val="6"/>
              <w:spacing w:before="229" w:line="219" w:lineRule="auto"/>
              <w:ind w:left="178"/>
            </w:pPr>
            <w:r>
              <w:rPr>
                <w:spacing w:val="-4"/>
              </w:rPr>
              <w:t>得分</w:t>
            </w:r>
          </w:p>
        </w:tc>
        <w:tc>
          <w:tcPr>
            <w:tcW w:w="1361" w:type="dxa"/>
            <w:vAlign w:val="top"/>
          </w:tcPr>
          <w:p w14:paraId="54B2896B">
            <w:pPr>
              <w:pStyle w:val="6"/>
              <w:spacing w:before="73" w:line="281" w:lineRule="auto"/>
              <w:ind w:left="114" w:right="168"/>
            </w:pPr>
            <w:r>
              <w:rPr>
                <w:spacing w:val="-2"/>
              </w:rPr>
              <w:t>偏差原因分析及改进措施</w:t>
            </w:r>
          </w:p>
        </w:tc>
      </w:tr>
    </w:tbl>
    <w:p w14:paraId="23C56827">
      <w:pPr>
        <w:pStyle w:val="2"/>
      </w:pPr>
    </w:p>
    <w:p w14:paraId="012725A8">
      <w:pPr>
        <w:sectPr>
          <w:footerReference r:id="rId25" w:type="default"/>
          <w:pgSz w:w="11906" w:h="16839"/>
          <w:pgMar w:top="1431" w:right="968" w:bottom="1091" w:left="1028" w:header="0" w:footer="929" w:gutter="0"/>
          <w:cols w:space="720" w:num="1"/>
        </w:sectPr>
      </w:pPr>
    </w:p>
    <w:p w14:paraId="1E95FF21">
      <w:pPr>
        <w:spacing w:before="92"/>
      </w:pPr>
    </w:p>
    <w:p w14:paraId="165C544F">
      <w:pPr>
        <w:spacing w:before="91"/>
      </w:pPr>
    </w:p>
    <w:tbl>
      <w:tblPr>
        <w:tblStyle w:val="5"/>
        <w:tblW w:w="9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630"/>
        <w:gridCol w:w="967"/>
        <w:gridCol w:w="1281"/>
        <w:gridCol w:w="600"/>
        <w:gridCol w:w="675"/>
        <w:gridCol w:w="698"/>
        <w:gridCol w:w="771"/>
        <w:gridCol w:w="658"/>
        <w:gridCol w:w="595"/>
        <w:gridCol w:w="704"/>
        <w:gridCol w:w="1361"/>
      </w:tblGrid>
      <w:tr w14:paraId="47ACA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64" w:type="dxa"/>
            <w:vAlign w:val="top"/>
          </w:tcPr>
          <w:p w14:paraId="5765E3A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0E5F1F4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2885EF54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4BFF5AA2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82EA5C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302B36E7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652B3AAB">
            <w:pPr>
              <w:pStyle w:val="6"/>
              <w:spacing w:before="71" w:line="219" w:lineRule="auto"/>
              <w:ind w:left="264"/>
            </w:pPr>
            <w:r>
              <w:t>值</w:t>
            </w:r>
          </w:p>
        </w:tc>
        <w:tc>
          <w:tcPr>
            <w:tcW w:w="771" w:type="dxa"/>
            <w:vAlign w:val="top"/>
          </w:tcPr>
          <w:p w14:paraId="22CDD98D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 w14:paraId="47DD26C4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 w14:paraId="72B0B4B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55A633DC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148E9474">
            <w:pPr>
              <w:rPr>
                <w:rFonts w:ascii="Arial"/>
                <w:sz w:val="21"/>
              </w:rPr>
            </w:pPr>
          </w:p>
        </w:tc>
      </w:tr>
      <w:tr w14:paraId="01434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43A0B091">
            <w:pPr>
              <w:spacing w:line="246" w:lineRule="auto"/>
              <w:rPr>
                <w:rFonts w:ascii="Arial"/>
                <w:sz w:val="21"/>
              </w:rPr>
            </w:pPr>
          </w:p>
          <w:p w14:paraId="74FC9E89">
            <w:pPr>
              <w:spacing w:line="246" w:lineRule="auto"/>
              <w:rPr>
                <w:rFonts w:ascii="Arial"/>
                <w:sz w:val="21"/>
              </w:rPr>
            </w:pPr>
          </w:p>
          <w:p w14:paraId="5CA126CE">
            <w:pPr>
              <w:spacing w:line="246" w:lineRule="auto"/>
              <w:rPr>
                <w:rFonts w:ascii="Arial"/>
                <w:sz w:val="21"/>
              </w:rPr>
            </w:pPr>
          </w:p>
          <w:p w14:paraId="64C8BD9B">
            <w:pPr>
              <w:spacing w:line="246" w:lineRule="auto"/>
              <w:rPr>
                <w:rFonts w:ascii="Arial"/>
                <w:sz w:val="21"/>
              </w:rPr>
            </w:pPr>
          </w:p>
          <w:p w14:paraId="39BDFFB4">
            <w:pPr>
              <w:spacing w:line="246" w:lineRule="auto"/>
              <w:rPr>
                <w:rFonts w:ascii="Arial"/>
                <w:sz w:val="21"/>
              </w:rPr>
            </w:pPr>
          </w:p>
          <w:p w14:paraId="7D5B2D70">
            <w:pPr>
              <w:spacing w:line="246" w:lineRule="auto"/>
              <w:rPr>
                <w:rFonts w:ascii="Arial"/>
                <w:sz w:val="21"/>
              </w:rPr>
            </w:pPr>
          </w:p>
          <w:p w14:paraId="0E276292">
            <w:pPr>
              <w:spacing w:line="246" w:lineRule="auto"/>
              <w:rPr>
                <w:rFonts w:ascii="Arial"/>
                <w:sz w:val="21"/>
              </w:rPr>
            </w:pPr>
          </w:p>
          <w:p w14:paraId="48E77E89">
            <w:pPr>
              <w:spacing w:line="246" w:lineRule="auto"/>
              <w:rPr>
                <w:rFonts w:ascii="Arial"/>
                <w:sz w:val="21"/>
              </w:rPr>
            </w:pPr>
          </w:p>
          <w:p w14:paraId="6FBAFB4C">
            <w:pPr>
              <w:spacing w:line="246" w:lineRule="auto"/>
              <w:rPr>
                <w:rFonts w:ascii="Arial"/>
                <w:sz w:val="21"/>
              </w:rPr>
            </w:pPr>
          </w:p>
          <w:p w14:paraId="5AFEBCF7">
            <w:pPr>
              <w:spacing w:line="246" w:lineRule="auto"/>
              <w:rPr>
                <w:rFonts w:ascii="Arial"/>
                <w:sz w:val="21"/>
              </w:rPr>
            </w:pPr>
          </w:p>
          <w:p w14:paraId="08EEF81D">
            <w:pPr>
              <w:spacing w:line="246" w:lineRule="auto"/>
              <w:rPr>
                <w:rFonts w:ascii="Arial"/>
                <w:sz w:val="21"/>
              </w:rPr>
            </w:pPr>
          </w:p>
          <w:p w14:paraId="62F1FBC5">
            <w:pPr>
              <w:spacing w:line="246" w:lineRule="auto"/>
              <w:rPr>
                <w:rFonts w:ascii="Arial"/>
                <w:sz w:val="21"/>
              </w:rPr>
            </w:pPr>
          </w:p>
          <w:p w14:paraId="407949AD">
            <w:pPr>
              <w:spacing w:line="246" w:lineRule="auto"/>
              <w:rPr>
                <w:rFonts w:ascii="Arial"/>
                <w:sz w:val="21"/>
              </w:rPr>
            </w:pPr>
          </w:p>
          <w:p w14:paraId="08165CA5">
            <w:pPr>
              <w:spacing w:line="246" w:lineRule="auto"/>
              <w:rPr>
                <w:rFonts w:ascii="Arial"/>
                <w:sz w:val="21"/>
              </w:rPr>
            </w:pPr>
          </w:p>
          <w:p w14:paraId="3B2DEAD7">
            <w:pPr>
              <w:spacing w:line="246" w:lineRule="auto"/>
              <w:rPr>
                <w:rFonts w:ascii="Arial"/>
                <w:sz w:val="21"/>
              </w:rPr>
            </w:pPr>
          </w:p>
          <w:p w14:paraId="4A2DFB31">
            <w:pPr>
              <w:spacing w:line="246" w:lineRule="auto"/>
              <w:rPr>
                <w:rFonts w:ascii="Arial"/>
                <w:sz w:val="21"/>
              </w:rPr>
            </w:pPr>
          </w:p>
          <w:p w14:paraId="621DDF3B">
            <w:pPr>
              <w:spacing w:line="246" w:lineRule="auto"/>
              <w:rPr>
                <w:rFonts w:ascii="Arial"/>
                <w:sz w:val="21"/>
              </w:rPr>
            </w:pPr>
          </w:p>
          <w:p w14:paraId="0C041036">
            <w:pPr>
              <w:spacing w:line="246" w:lineRule="auto"/>
              <w:rPr>
                <w:rFonts w:ascii="Arial"/>
                <w:sz w:val="21"/>
              </w:rPr>
            </w:pPr>
          </w:p>
          <w:p w14:paraId="2965E9C3">
            <w:pPr>
              <w:spacing w:line="246" w:lineRule="auto"/>
              <w:rPr>
                <w:rFonts w:ascii="Arial"/>
                <w:sz w:val="21"/>
              </w:rPr>
            </w:pPr>
          </w:p>
          <w:p w14:paraId="67E7480C">
            <w:pPr>
              <w:spacing w:line="246" w:lineRule="auto"/>
              <w:rPr>
                <w:rFonts w:ascii="Arial"/>
                <w:sz w:val="21"/>
              </w:rPr>
            </w:pPr>
          </w:p>
          <w:p w14:paraId="660B2348">
            <w:pPr>
              <w:spacing w:line="246" w:lineRule="auto"/>
              <w:rPr>
                <w:rFonts w:ascii="Arial"/>
                <w:sz w:val="21"/>
              </w:rPr>
            </w:pPr>
          </w:p>
          <w:p w14:paraId="0E647AB9">
            <w:pPr>
              <w:spacing w:line="246" w:lineRule="auto"/>
              <w:rPr>
                <w:rFonts w:ascii="Arial"/>
                <w:sz w:val="21"/>
              </w:rPr>
            </w:pPr>
          </w:p>
          <w:p w14:paraId="3C78A97E">
            <w:pPr>
              <w:spacing w:line="247" w:lineRule="auto"/>
              <w:rPr>
                <w:rFonts w:ascii="Arial"/>
                <w:sz w:val="21"/>
              </w:rPr>
            </w:pPr>
          </w:p>
          <w:p w14:paraId="59B1B02F">
            <w:pPr>
              <w:spacing w:line="247" w:lineRule="auto"/>
              <w:rPr>
                <w:rFonts w:ascii="Arial"/>
                <w:sz w:val="21"/>
              </w:rPr>
            </w:pPr>
          </w:p>
          <w:p w14:paraId="00818443">
            <w:pPr>
              <w:pStyle w:val="6"/>
              <w:spacing w:before="59" w:line="220" w:lineRule="auto"/>
              <w:ind w:left="128"/>
            </w:pPr>
            <w:r>
              <w:rPr>
                <w:spacing w:val="-3"/>
              </w:rPr>
              <w:t>绩效指标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07719B42">
            <w:pPr>
              <w:spacing w:line="242" w:lineRule="auto"/>
              <w:rPr>
                <w:rFonts w:ascii="Arial"/>
                <w:sz w:val="21"/>
              </w:rPr>
            </w:pPr>
          </w:p>
          <w:p w14:paraId="28254C79">
            <w:pPr>
              <w:spacing w:line="242" w:lineRule="auto"/>
              <w:rPr>
                <w:rFonts w:ascii="Arial"/>
                <w:sz w:val="21"/>
              </w:rPr>
            </w:pPr>
          </w:p>
          <w:p w14:paraId="58A56C02">
            <w:pPr>
              <w:spacing w:line="242" w:lineRule="auto"/>
              <w:rPr>
                <w:rFonts w:ascii="Arial"/>
                <w:sz w:val="21"/>
              </w:rPr>
            </w:pPr>
          </w:p>
          <w:p w14:paraId="41A9DEB9">
            <w:pPr>
              <w:spacing w:line="242" w:lineRule="auto"/>
              <w:rPr>
                <w:rFonts w:ascii="Arial"/>
                <w:sz w:val="21"/>
              </w:rPr>
            </w:pPr>
          </w:p>
          <w:p w14:paraId="6A787A81">
            <w:pPr>
              <w:spacing w:line="242" w:lineRule="auto"/>
              <w:rPr>
                <w:rFonts w:ascii="Arial"/>
                <w:sz w:val="21"/>
              </w:rPr>
            </w:pPr>
          </w:p>
          <w:p w14:paraId="07FED2C7">
            <w:pPr>
              <w:spacing w:line="242" w:lineRule="auto"/>
              <w:rPr>
                <w:rFonts w:ascii="Arial"/>
                <w:sz w:val="21"/>
              </w:rPr>
            </w:pPr>
          </w:p>
          <w:p w14:paraId="461EDAB0">
            <w:pPr>
              <w:spacing w:line="242" w:lineRule="auto"/>
              <w:rPr>
                <w:rFonts w:ascii="Arial"/>
                <w:sz w:val="21"/>
              </w:rPr>
            </w:pPr>
          </w:p>
          <w:p w14:paraId="040D7D68">
            <w:pPr>
              <w:spacing w:line="242" w:lineRule="auto"/>
              <w:rPr>
                <w:rFonts w:ascii="Arial"/>
                <w:sz w:val="21"/>
              </w:rPr>
            </w:pPr>
          </w:p>
          <w:p w14:paraId="3BD516CD">
            <w:pPr>
              <w:spacing w:line="242" w:lineRule="auto"/>
              <w:rPr>
                <w:rFonts w:ascii="Arial"/>
                <w:sz w:val="21"/>
              </w:rPr>
            </w:pPr>
          </w:p>
          <w:p w14:paraId="104FA399">
            <w:pPr>
              <w:spacing w:line="242" w:lineRule="auto"/>
              <w:rPr>
                <w:rFonts w:ascii="Arial"/>
                <w:sz w:val="21"/>
              </w:rPr>
            </w:pPr>
          </w:p>
          <w:p w14:paraId="08C9CEC6">
            <w:pPr>
              <w:spacing w:line="242" w:lineRule="auto"/>
              <w:rPr>
                <w:rFonts w:ascii="Arial"/>
                <w:sz w:val="21"/>
              </w:rPr>
            </w:pPr>
          </w:p>
          <w:p w14:paraId="7398E15F">
            <w:pPr>
              <w:spacing w:line="242" w:lineRule="auto"/>
              <w:rPr>
                <w:rFonts w:ascii="Arial"/>
                <w:sz w:val="21"/>
              </w:rPr>
            </w:pPr>
          </w:p>
          <w:p w14:paraId="78D64A2E">
            <w:pPr>
              <w:spacing w:line="242" w:lineRule="auto"/>
              <w:rPr>
                <w:rFonts w:ascii="Arial"/>
                <w:sz w:val="21"/>
              </w:rPr>
            </w:pPr>
          </w:p>
          <w:p w14:paraId="287B1BB0">
            <w:pPr>
              <w:spacing w:line="242" w:lineRule="auto"/>
              <w:rPr>
                <w:rFonts w:ascii="Arial"/>
                <w:sz w:val="21"/>
              </w:rPr>
            </w:pPr>
          </w:p>
          <w:p w14:paraId="1AE51786">
            <w:pPr>
              <w:spacing w:line="242" w:lineRule="auto"/>
              <w:rPr>
                <w:rFonts w:ascii="Arial"/>
                <w:sz w:val="21"/>
              </w:rPr>
            </w:pPr>
          </w:p>
          <w:p w14:paraId="319210BE">
            <w:pPr>
              <w:spacing w:line="242" w:lineRule="auto"/>
              <w:rPr>
                <w:rFonts w:ascii="Arial"/>
                <w:sz w:val="21"/>
              </w:rPr>
            </w:pPr>
          </w:p>
          <w:p w14:paraId="1E12B2B1">
            <w:pPr>
              <w:spacing w:line="243" w:lineRule="auto"/>
              <w:rPr>
                <w:rFonts w:ascii="Arial"/>
                <w:sz w:val="21"/>
              </w:rPr>
            </w:pPr>
          </w:p>
          <w:p w14:paraId="2E1B0E62">
            <w:pPr>
              <w:spacing w:line="243" w:lineRule="auto"/>
              <w:rPr>
                <w:rFonts w:ascii="Arial"/>
                <w:sz w:val="21"/>
              </w:rPr>
            </w:pPr>
          </w:p>
          <w:p w14:paraId="3DB25028">
            <w:pPr>
              <w:spacing w:line="243" w:lineRule="auto"/>
              <w:rPr>
                <w:rFonts w:ascii="Arial"/>
                <w:sz w:val="21"/>
              </w:rPr>
            </w:pPr>
          </w:p>
          <w:p w14:paraId="4E122E13">
            <w:pPr>
              <w:spacing w:line="243" w:lineRule="auto"/>
              <w:rPr>
                <w:rFonts w:ascii="Arial"/>
                <w:sz w:val="21"/>
              </w:rPr>
            </w:pPr>
          </w:p>
          <w:p w14:paraId="6641FFE6">
            <w:pPr>
              <w:spacing w:line="243" w:lineRule="auto"/>
              <w:rPr>
                <w:rFonts w:ascii="Arial"/>
                <w:sz w:val="21"/>
              </w:rPr>
            </w:pPr>
          </w:p>
          <w:p w14:paraId="43CEDFE9">
            <w:pPr>
              <w:spacing w:line="243" w:lineRule="auto"/>
              <w:rPr>
                <w:rFonts w:ascii="Arial"/>
                <w:sz w:val="21"/>
              </w:rPr>
            </w:pPr>
          </w:p>
          <w:p w14:paraId="12B34A20">
            <w:pPr>
              <w:pStyle w:val="6"/>
              <w:spacing w:before="58" w:line="322" w:lineRule="auto"/>
              <w:ind w:left="140" w:right="133" w:hanging="2"/>
            </w:pPr>
            <w:r>
              <w:rPr>
                <w:spacing w:val="-4"/>
              </w:rPr>
              <w:t>产出</w:t>
            </w:r>
            <w:r>
              <w:rPr>
                <w:spacing w:val="-5"/>
              </w:rPr>
              <w:t>指标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59770AC1">
            <w:pPr>
              <w:spacing w:line="264" w:lineRule="auto"/>
              <w:rPr>
                <w:rFonts w:ascii="Arial"/>
                <w:sz w:val="21"/>
              </w:rPr>
            </w:pPr>
          </w:p>
          <w:p w14:paraId="6D170CE7">
            <w:pPr>
              <w:spacing w:line="264" w:lineRule="auto"/>
              <w:rPr>
                <w:rFonts w:ascii="Arial"/>
                <w:sz w:val="21"/>
              </w:rPr>
            </w:pPr>
          </w:p>
          <w:p w14:paraId="4049FC44">
            <w:pPr>
              <w:spacing w:line="264" w:lineRule="auto"/>
              <w:rPr>
                <w:rFonts w:ascii="Arial"/>
                <w:sz w:val="21"/>
              </w:rPr>
            </w:pPr>
          </w:p>
          <w:p w14:paraId="039FE58F">
            <w:pPr>
              <w:spacing w:line="265" w:lineRule="auto"/>
              <w:rPr>
                <w:rFonts w:ascii="Arial"/>
                <w:sz w:val="21"/>
              </w:rPr>
            </w:pPr>
          </w:p>
          <w:p w14:paraId="34DD2E3F">
            <w:pPr>
              <w:spacing w:line="265" w:lineRule="auto"/>
              <w:rPr>
                <w:rFonts w:ascii="Arial"/>
                <w:sz w:val="21"/>
              </w:rPr>
            </w:pPr>
          </w:p>
          <w:p w14:paraId="689975AD">
            <w:pPr>
              <w:spacing w:line="265" w:lineRule="auto"/>
              <w:rPr>
                <w:rFonts w:ascii="Arial"/>
                <w:sz w:val="21"/>
              </w:rPr>
            </w:pPr>
          </w:p>
          <w:p w14:paraId="03BD0333">
            <w:pPr>
              <w:pStyle w:val="6"/>
              <w:spacing w:before="58" w:line="219" w:lineRule="auto"/>
              <w:ind w:left="129"/>
            </w:pPr>
            <w:r>
              <w:rPr>
                <w:spacing w:val="-3"/>
              </w:rPr>
              <w:t>数量指标</w:t>
            </w:r>
          </w:p>
        </w:tc>
        <w:tc>
          <w:tcPr>
            <w:tcW w:w="1281" w:type="dxa"/>
            <w:vAlign w:val="top"/>
          </w:tcPr>
          <w:p w14:paraId="57704148">
            <w:pPr>
              <w:pStyle w:val="6"/>
              <w:spacing w:before="68" w:line="219" w:lineRule="auto"/>
              <w:ind w:left="196"/>
            </w:pPr>
            <w:r>
              <w:rPr>
                <w:spacing w:val="-2"/>
              </w:rPr>
              <w:t>刑事检察审</w:t>
            </w:r>
          </w:p>
          <w:p w14:paraId="6944E411">
            <w:pPr>
              <w:pStyle w:val="6"/>
              <w:spacing w:before="98" w:line="282" w:lineRule="auto"/>
              <w:ind w:left="465" w:right="187" w:hanging="268"/>
            </w:pPr>
            <w:r>
              <w:rPr>
                <w:spacing w:val="-2"/>
              </w:rPr>
              <w:t>查起诉案件</w:t>
            </w:r>
            <w:r>
              <w:rPr>
                <w:spacing w:val="-5"/>
              </w:rPr>
              <w:t>数量</w:t>
            </w:r>
          </w:p>
        </w:tc>
        <w:tc>
          <w:tcPr>
            <w:tcW w:w="600" w:type="dxa"/>
            <w:vAlign w:val="top"/>
          </w:tcPr>
          <w:p w14:paraId="30160E2B">
            <w:pPr>
              <w:spacing w:line="319" w:lineRule="auto"/>
              <w:rPr>
                <w:rFonts w:ascii="Arial"/>
                <w:sz w:val="21"/>
              </w:rPr>
            </w:pPr>
          </w:p>
          <w:p w14:paraId="595FFD41">
            <w:pPr>
              <w:pStyle w:val="6"/>
              <w:spacing w:before="59" w:line="221" w:lineRule="auto"/>
              <w:ind w:left="127"/>
            </w:pPr>
            <w:r>
              <w:rPr>
                <w:spacing w:val="-6"/>
              </w:rPr>
              <w:t>正向</w:t>
            </w:r>
          </w:p>
        </w:tc>
        <w:tc>
          <w:tcPr>
            <w:tcW w:w="675" w:type="dxa"/>
            <w:vAlign w:val="top"/>
          </w:tcPr>
          <w:p w14:paraId="579D18C5">
            <w:pPr>
              <w:pStyle w:val="6"/>
              <w:spacing w:before="224" w:line="220" w:lineRule="auto"/>
              <w:ind w:left="164"/>
            </w:pPr>
            <w:r>
              <w:rPr>
                <w:spacing w:val="-5"/>
              </w:rPr>
              <w:t>大于</w:t>
            </w:r>
          </w:p>
          <w:p w14:paraId="5EBF5BF1">
            <w:pPr>
              <w:pStyle w:val="6"/>
              <w:spacing w:before="97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4FE4D462">
            <w:pPr>
              <w:spacing w:line="319" w:lineRule="auto"/>
              <w:rPr>
                <w:rFonts w:ascii="Arial"/>
                <w:sz w:val="21"/>
              </w:rPr>
            </w:pPr>
          </w:p>
          <w:p w14:paraId="37D9664E">
            <w:pPr>
              <w:pStyle w:val="6"/>
              <w:spacing w:before="59"/>
              <w:ind w:left="221"/>
            </w:pPr>
            <w:r>
              <w:rPr>
                <w:spacing w:val="-3"/>
              </w:rPr>
              <w:t>200</w:t>
            </w:r>
          </w:p>
        </w:tc>
        <w:tc>
          <w:tcPr>
            <w:tcW w:w="771" w:type="dxa"/>
            <w:vAlign w:val="top"/>
          </w:tcPr>
          <w:p w14:paraId="43D65820">
            <w:pPr>
              <w:spacing w:line="319" w:lineRule="auto"/>
              <w:rPr>
                <w:rFonts w:ascii="Arial"/>
                <w:sz w:val="21"/>
              </w:rPr>
            </w:pPr>
          </w:p>
          <w:p w14:paraId="2213044F">
            <w:pPr>
              <w:pStyle w:val="6"/>
              <w:spacing w:before="59" w:line="239" w:lineRule="auto"/>
              <w:ind w:left="123"/>
            </w:pPr>
            <w:r>
              <w:rPr>
                <w:spacing w:val="-2"/>
              </w:rPr>
              <w:t>234.00</w:t>
            </w:r>
          </w:p>
        </w:tc>
        <w:tc>
          <w:tcPr>
            <w:tcW w:w="658" w:type="dxa"/>
            <w:vAlign w:val="top"/>
          </w:tcPr>
          <w:p w14:paraId="339335EA">
            <w:pPr>
              <w:spacing w:line="320" w:lineRule="auto"/>
              <w:rPr>
                <w:rFonts w:ascii="Arial"/>
                <w:sz w:val="21"/>
              </w:rPr>
            </w:pPr>
          </w:p>
          <w:p w14:paraId="75D5F8F8">
            <w:pPr>
              <w:pStyle w:val="6"/>
              <w:spacing w:before="58" w:line="219" w:lineRule="auto"/>
              <w:ind w:left="244"/>
            </w:pPr>
            <w:r>
              <w:t>件</w:t>
            </w:r>
          </w:p>
        </w:tc>
        <w:tc>
          <w:tcPr>
            <w:tcW w:w="595" w:type="dxa"/>
            <w:vAlign w:val="top"/>
          </w:tcPr>
          <w:p w14:paraId="4DADFF48">
            <w:pPr>
              <w:spacing w:line="319" w:lineRule="auto"/>
              <w:rPr>
                <w:rFonts w:ascii="Arial"/>
                <w:sz w:val="21"/>
              </w:rPr>
            </w:pPr>
          </w:p>
          <w:p w14:paraId="1B7F2A4B">
            <w:pPr>
              <w:pStyle w:val="6"/>
              <w:spacing w:before="59"/>
              <w:ind w:left="260"/>
            </w:pPr>
            <w:r>
              <w:t>5</w:t>
            </w:r>
          </w:p>
        </w:tc>
        <w:tc>
          <w:tcPr>
            <w:tcW w:w="704" w:type="dxa"/>
            <w:vAlign w:val="top"/>
          </w:tcPr>
          <w:p w14:paraId="51434FF5">
            <w:pPr>
              <w:spacing w:line="319" w:lineRule="auto"/>
              <w:rPr>
                <w:rFonts w:ascii="Arial"/>
                <w:sz w:val="21"/>
              </w:rPr>
            </w:pPr>
          </w:p>
          <w:p w14:paraId="6B6D2EBC">
            <w:pPr>
              <w:pStyle w:val="6"/>
              <w:spacing w:before="59"/>
              <w:ind w:left="316"/>
            </w:pPr>
            <w:r>
              <w:t>5</w:t>
            </w:r>
          </w:p>
        </w:tc>
        <w:tc>
          <w:tcPr>
            <w:tcW w:w="1361" w:type="dxa"/>
            <w:vAlign w:val="top"/>
          </w:tcPr>
          <w:p w14:paraId="5BD7BFD1">
            <w:pPr>
              <w:rPr>
                <w:rFonts w:ascii="Arial"/>
                <w:sz w:val="21"/>
              </w:rPr>
            </w:pPr>
          </w:p>
        </w:tc>
      </w:tr>
      <w:tr w14:paraId="79029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1A1CFB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583D5BC4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 w14:paraId="2FCF52C1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05325F31">
            <w:pPr>
              <w:pStyle w:val="6"/>
              <w:spacing w:before="176" w:line="322" w:lineRule="auto"/>
              <w:ind w:left="194" w:right="187"/>
            </w:pPr>
            <w:r>
              <w:rPr>
                <w:spacing w:val="-2"/>
              </w:rPr>
              <w:t>认罪认罚案件处理数量</w:t>
            </w:r>
          </w:p>
        </w:tc>
        <w:tc>
          <w:tcPr>
            <w:tcW w:w="600" w:type="dxa"/>
            <w:vAlign w:val="top"/>
          </w:tcPr>
          <w:p w14:paraId="2F3A5055">
            <w:pPr>
              <w:spacing w:line="271" w:lineRule="auto"/>
              <w:rPr>
                <w:rFonts w:ascii="Arial"/>
                <w:sz w:val="21"/>
              </w:rPr>
            </w:pPr>
          </w:p>
          <w:p w14:paraId="5F7FA935">
            <w:pPr>
              <w:pStyle w:val="6"/>
              <w:spacing w:before="59" w:line="221" w:lineRule="auto"/>
              <w:ind w:left="127"/>
            </w:pPr>
            <w:r>
              <w:rPr>
                <w:spacing w:val="-6"/>
              </w:rPr>
              <w:t>正向</w:t>
            </w:r>
          </w:p>
        </w:tc>
        <w:tc>
          <w:tcPr>
            <w:tcW w:w="675" w:type="dxa"/>
            <w:vAlign w:val="top"/>
          </w:tcPr>
          <w:p w14:paraId="6614E89B">
            <w:pPr>
              <w:pStyle w:val="6"/>
              <w:spacing w:before="176" w:line="220" w:lineRule="auto"/>
              <w:ind w:left="164"/>
            </w:pPr>
            <w:r>
              <w:rPr>
                <w:spacing w:val="-5"/>
              </w:rPr>
              <w:t>大于</w:t>
            </w:r>
          </w:p>
          <w:p w14:paraId="2669539F">
            <w:pPr>
              <w:pStyle w:val="6"/>
              <w:spacing w:before="97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63C19C6D">
            <w:pPr>
              <w:spacing w:line="271" w:lineRule="auto"/>
              <w:rPr>
                <w:rFonts w:ascii="Arial"/>
                <w:sz w:val="21"/>
              </w:rPr>
            </w:pPr>
          </w:p>
          <w:p w14:paraId="76F593EA">
            <w:pPr>
              <w:pStyle w:val="6"/>
              <w:spacing w:before="59"/>
              <w:ind w:left="268"/>
            </w:pPr>
            <w:r>
              <w:rPr>
                <w:spacing w:val="-5"/>
              </w:rPr>
              <w:t>50</w:t>
            </w:r>
          </w:p>
        </w:tc>
        <w:tc>
          <w:tcPr>
            <w:tcW w:w="771" w:type="dxa"/>
            <w:vAlign w:val="top"/>
          </w:tcPr>
          <w:p w14:paraId="57FFA9AB">
            <w:pPr>
              <w:spacing w:line="271" w:lineRule="auto"/>
              <w:rPr>
                <w:rFonts w:ascii="Arial"/>
                <w:sz w:val="21"/>
              </w:rPr>
            </w:pPr>
          </w:p>
          <w:p w14:paraId="21D88137">
            <w:pPr>
              <w:pStyle w:val="6"/>
              <w:spacing w:before="59" w:line="239" w:lineRule="auto"/>
              <w:ind w:left="123"/>
            </w:pPr>
            <w:r>
              <w:rPr>
                <w:spacing w:val="-2"/>
              </w:rPr>
              <w:t>262.00</w:t>
            </w:r>
          </w:p>
        </w:tc>
        <w:tc>
          <w:tcPr>
            <w:tcW w:w="658" w:type="dxa"/>
            <w:vAlign w:val="top"/>
          </w:tcPr>
          <w:p w14:paraId="6816DB16">
            <w:pPr>
              <w:spacing w:line="272" w:lineRule="auto"/>
              <w:rPr>
                <w:rFonts w:ascii="Arial"/>
                <w:sz w:val="21"/>
              </w:rPr>
            </w:pPr>
          </w:p>
          <w:p w14:paraId="59579428">
            <w:pPr>
              <w:pStyle w:val="6"/>
              <w:spacing w:before="58" w:line="219" w:lineRule="auto"/>
              <w:ind w:left="244"/>
            </w:pPr>
            <w:r>
              <w:t>件</w:t>
            </w:r>
          </w:p>
        </w:tc>
        <w:tc>
          <w:tcPr>
            <w:tcW w:w="595" w:type="dxa"/>
            <w:vAlign w:val="top"/>
          </w:tcPr>
          <w:p w14:paraId="0B242DE9">
            <w:pPr>
              <w:spacing w:line="271" w:lineRule="auto"/>
              <w:rPr>
                <w:rFonts w:ascii="Arial"/>
                <w:sz w:val="21"/>
              </w:rPr>
            </w:pPr>
          </w:p>
          <w:p w14:paraId="3760E217">
            <w:pPr>
              <w:pStyle w:val="6"/>
              <w:spacing w:before="59"/>
              <w:ind w:left="260"/>
            </w:pPr>
            <w:r>
              <w:t>5</w:t>
            </w:r>
          </w:p>
        </w:tc>
        <w:tc>
          <w:tcPr>
            <w:tcW w:w="704" w:type="dxa"/>
            <w:vAlign w:val="top"/>
          </w:tcPr>
          <w:p w14:paraId="377E013D">
            <w:pPr>
              <w:spacing w:line="271" w:lineRule="auto"/>
              <w:rPr>
                <w:rFonts w:ascii="Arial"/>
                <w:sz w:val="21"/>
              </w:rPr>
            </w:pPr>
          </w:p>
          <w:p w14:paraId="6F3F121B">
            <w:pPr>
              <w:pStyle w:val="6"/>
              <w:spacing w:before="59"/>
              <w:ind w:left="316"/>
            </w:pPr>
            <w:r>
              <w:t>5</w:t>
            </w:r>
          </w:p>
        </w:tc>
        <w:tc>
          <w:tcPr>
            <w:tcW w:w="1361" w:type="dxa"/>
            <w:vAlign w:val="top"/>
          </w:tcPr>
          <w:p w14:paraId="6FEDE766">
            <w:pPr>
              <w:rPr>
                <w:rFonts w:ascii="Arial"/>
                <w:sz w:val="21"/>
              </w:rPr>
            </w:pPr>
          </w:p>
        </w:tc>
      </w:tr>
      <w:tr w14:paraId="10CB6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4F1C10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52190C2C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 w14:paraId="27CC88D9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3100A08B">
            <w:pPr>
              <w:pStyle w:val="6"/>
              <w:spacing w:before="175" w:line="322" w:lineRule="auto"/>
              <w:ind w:left="284" w:right="187" w:hanging="90"/>
            </w:pPr>
            <w:r>
              <w:rPr>
                <w:spacing w:val="-2"/>
              </w:rPr>
              <w:t>委托物业服</w:t>
            </w:r>
            <w:r>
              <w:rPr>
                <w:spacing w:val="-3"/>
              </w:rPr>
              <w:t>务季度数</w:t>
            </w:r>
          </w:p>
        </w:tc>
        <w:tc>
          <w:tcPr>
            <w:tcW w:w="600" w:type="dxa"/>
            <w:vAlign w:val="top"/>
          </w:tcPr>
          <w:p w14:paraId="1610673E">
            <w:pPr>
              <w:spacing w:line="271" w:lineRule="auto"/>
              <w:rPr>
                <w:rFonts w:ascii="Arial"/>
                <w:sz w:val="21"/>
              </w:rPr>
            </w:pPr>
          </w:p>
          <w:p w14:paraId="2FB230D9">
            <w:pPr>
              <w:pStyle w:val="6"/>
              <w:spacing w:before="58" w:line="221" w:lineRule="auto"/>
              <w:ind w:left="127"/>
            </w:pPr>
            <w:r>
              <w:rPr>
                <w:spacing w:val="-6"/>
              </w:rPr>
              <w:t>正向</w:t>
            </w:r>
          </w:p>
        </w:tc>
        <w:tc>
          <w:tcPr>
            <w:tcW w:w="675" w:type="dxa"/>
            <w:vAlign w:val="top"/>
          </w:tcPr>
          <w:p w14:paraId="695A20C9">
            <w:pPr>
              <w:pStyle w:val="6"/>
              <w:spacing w:before="175" w:line="220" w:lineRule="auto"/>
              <w:ind w:left="164"/>
            </w:pPr>
            <w:r>
              <w:rPr>
                <w:spacing w:val="-5"/>
              </w:rPr>
              <w:t>大于</w:t>
            </w:r>
          </w:p>
          <w:p w14:paraId="1C9DD148">
            <w:pPr>
              <w:pStyle w:val="6"/>
              <w:spacing w:before="97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346EC1BF">
            <w:pPr>
              <w:spacing w:line="271" w:lineRule="auto"/>
              <w:rPr>
                <w:rFonts w:ascii="Arial"/>
                <w:sz w:val="21"/>
              </w:rPr>
            </w:pPr>
          </w:p>
          <w:p w14:paraId="007BBE4D">
            <w:pPr>
              <w:pStyle w:val="6"/>
              <w:spacing w:before="59" w:line="241" w:lineRule="auto"/>
              <w:ind w:left="307"/>
            </w:pPr>
            <w:r>
              <w:t>4</w:t>
            </w:r>
          </w:p>
        </w:tc>
        <w:tc>
          <w:tcPr>
            <w:tcW w:w="771" w:type="dxa"/>
            <w:vAlign w:val="top"/>
          </w:tcPr>
          <w:p w14:paraId="4F0CE1EC">
            <w:pPr>
              <w:spacing w:line="271" w:lineRule="auto"/>
              <w:rPr>
                <w:rFonts w:ascii="Arial"/>
                <w:sz w:val="21"/>
              </w:rPr>
            </w:pPr>
          </w:p>
          <w:p w14:paraId="14B117DC">
            <w:pPr>
              <w:pStyle w:val="6"/>
              <w:spacing w:before="58" w:line="239" w:lineRule="auto"/>
              <w:ind w:left="209"/>
            </w:pPr>
            <w:r>
              <w:rPr>
                <w:spacing w:val="-2"/>
              </w:rPr>
              <w:t>4.00</w:t>
            </w:r>
          </w:p>
        </w:tc>
        <w:tc>
          <w:tcPr>
            <w:tcW w:w="658" w:type="dxa"/>
            <w:vAlign w:val="top"/>
          </w:tcPr>
          <w:p w14:paraId="6DC1F72B">
            <w:pPr>
              <w:spacing w:line="271" w:lineRule="auto"/>
              <w:rPr>
                <w:rFonts w:ascii="Arial"/>
                <w:sz w:val="21"/>
              </w:rPr>
            </w:pPr>
          </w:p>
          <w:p w14:paraId="55E82101">
            <w:pPr>
              <w:pStyle w:val="6"/>
              <w:spacing w:before="59" w:line="219" w:lineRule="auto"/>
              <w:ind w:left="154"/>
            </w:pPr>
            <w:r>
              <w:rPr>
                <w:spacing w:val="-4"/>
              </w:rPr>
              <w:t>季度</w:t>
            </w:r>
          </w:p>
        </w:tc>
        <w:tc>
          <w:tcPr>
            <w:tcW w:w="595" w:type="dxa"/>
            <w:vAlign w:val="top"/>
          </w:tcPr>
          <w:p w14:paraId="6AC55101">
            <w:pPr>
              <w:spacing w:line="271" w:lineRule="auto"/>
              <w:rPr>
                <w:rFonts w:ascii="Arial"/>
                <w:sz w:val="21"/>
              </w:rPr>
            </w:pPr>
          </w:p>
          <w:p w14:paraId="454F431D">
            <w:pPr>
              <w:pStyle w:val="6"/>
              <w:spacing w:before="59" w:line="241" w:lineRule="auto"/>
              <w:ind w:left="259"/>
            </w:pPr>
            <w:r>
              <w:t>2</w:t>
            </w:r>
          </w:p>
        </w:tc>
        <w:tc>
          <w:tcPr>
            <w:tcW w:w="704" w:type="dxa"/>
            <w:vAlign w:val="top"/>
          </w:tcPr>
          <w:p w14:paraId="39341F64">
            <w:pPr>
              <w:spacing w:line="271" w:lineRule="auto"/>
              <w:rPr>
                <w:rFonts w:ascii="Arial"/>
                <w:sz w:val="21"/>
              </w:rPr>
            </w:pPr>
          </w:p>
          <w:p w14:paraId="746750DD">
            <w:pPr>
              <w:pStyle w:val="6"/>
              <w:spacing w:before="59" w:line="241" w:lineRule="auto"/>
              <w:ind w:left="314"/>
            </w:pPr>
            <w:r>
              <w:t>2</w:t>
            </w:r>
          </w:p>
        </w:tc>
        <w:tc>
          <w:tcPr>
            <w:tcW w:w="1361" w:type="dxa"/>
            <w:vAlign w:val="top"/>
          </w:tcPr>
          <w:p w14:paraId="3D526AC2">
            <w:pPr>
              <w:rPr>
                <w:rFonts w:ascii="Arial"/>
                <w:sz w:val="21"/>
              </w:rPr>
            </w:pPr>
          </w:p>
        </w:tc>
      </w:tr>
      <w:tr w14:paraId="56468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F1A391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4E823D4A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430BAE07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0D093686">
            <w:pPr>
              <w:pStyle w:val="6"/>
              <w:spacing w:before="175" w:line="325" w:lineRule="auto"/>
              <w:ind w:left="554" w:right="187" w:hanging="354"/>
            </w:pPr>
            <w:r>
              <w:rPr>
                <w:spacing w:val="-3"/>
              </w:rPr>
              <w:t>公车维护数</w:t>
            </w:r>
            <w:r>
              <w:t>量</w:t>
            </w:r>
          </w:p>
        </w:tc>
        <w:tc>
          <w:tcPr>
            <w:tcW w:w="600" w:type="dxa"/>
            <w:vAlign w:val="top"/>
          </w:tcPr>
          <w:p w14:paraId="34BA31E8">
            <w:pPr>
              <w:spacing w:line="270" w:lineRule="auto"/>
              <w:rPr>
                <w:rFonts w:ascii="Arial"/>
                <w:sz w:val="21"/>
              </w:rPr>
            </w:pPr>
          </w:p>
          <w:p w14:paraId="10F74E62">
            <w:pPr>
              <w:pStyle w:val="6"/>
              <w:spacing w:before="59" w:line="221" w:lineRule="auto"/>
              <w:ind w:left="127"/>
            </w:pPr>
            <w:r>
              <w:rPr>
                <w:spacing w:val="-6"/>
              </w:rPr>
              <w:t>正向</w:t>
            </w:r>
          </w:p>
        </w:tc>
        <w:tc>
          <w:tcPr>
            <w:tcW w:w="675" w:type="dxa"/>
            <w:vAlign w:val="top"/>
          </w:tcPr>
          <w:p w14:paraId="15CE80CD">
            <w:pPr>
              <w:pStyle w:val="6"/>
              <w:spacing w:before="175" w:line="220" w:lineRule="auto"/>
              <w:ind w:left="164"/>
            </w:pPr>
            <w:r>
              <w:rPr>
                <w:spacing w:val="-5"/>
              </w:rPr>
              <w:t>大于</w:t>
            </w:r>
          </w:p>
          <w:p w14:paraId="019DD335">
            <w:pPr>
              <w:pStyle w:val="6"/>
              <w:spacing w:before="97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72AB71E7">
            <w:pPr>
              <w:spacing w:line="270" w:lineRule="auto"/>
              <w:rPr>
                <w:rFonts w:ascii="Arial"/>
                <w:sz w:val="21"/>
              </w:rPr>
            </w:pPr>
          </w:p>
          <w:p w14:paraId="5212F765">
            <w:pPr>
              <w:pStyle w:val="6"/>
              <w:spacing w:before="59"/>
              <w:ind w:left="312"/>
            </w:pPr>
            <w:r>
              <w:t>7</w:t>
            </w:r>
          </w:p>
        </w:tc>
        <w:tc>
          <w:tcPr>
            <w:tcW w:w="771" w:type="dxa"/>
            <w:vAlign w:val="top"/>
          </w:tcPr>
          <w:p w14:paraId="7CB80F70">
            <w:pPr>
              <w:spacing w:line="271" w:lineRule="auto"/>
              <w:rPr>
                <w:rFonts w:ascii="Arial"/>
                <w:sz w:val="21"/>
              </w:rPr>
            </w:pPr>
          </w:p>
          <w:p w14:paraId="2B110888">
            <w:pPr>
              <w:pStyle w:val="6"/>
              <w:spacing w:before="58" w:line="239" w:lineRule="auto"/>
              <w:ind w:left="210"/>
            </w:pPr>
            <w:r>
              <w:rPr>
                <w:spacing w:val="-2"/>
              </w:rPr>
              <w:t>9.00</w:t>
            </w:r>
          </w:p>
        </w:tc>
        <w:tc>
          <w:tcPr>
            <w:tcW w:w="658" w:type="dxa"/>
            <w:vAlign w:val="top"/>
          </w:tcPr>
          <w:p w14:paraId="326A3DAE">
            <w:pPr>
              <w:spacing w:line="271" w:lineRule="auto"/>
              <w:rPr>
                <w:rFonts w:ascii="Arial"/>
                <w:sz w:val="21"/>
              </w:rPr>
            </w:pPr>
          </w:p>
          <w:p w14:paraId="53F498BC">
            <w:pPr>
              <w:pStyle w:val="6"/>
              <w:spacing w:before="59" w:line="219" w:lineRule="auto"/>
              <w:ind w:left="244"/>
            </w:pPr>
            <w:r>
              <w:t>辆</w:t>
            </w:r>
          </w:p>
        </w:tc>
        <w:tc>
          <w:tcPr>
            <w:tcW w:w="595" w:type="dxa"/>
            <w:vAlign w:val="top"/>
          </w:tcPr>
          <w:p w14:paraId="67FFEB66">
            <w:pPr>
              <w:spacing w:line="270" w:lineRule="auto"/>
              <w:rPr>
                <w:rFonts w:ascii="Arial"/>
                <w:sz w:val="21"/>
              </w:rPr>
            </w:pPr>
          </w:p>
          <w:p w14:paraId="38A81905">
            <w:pPr>
              <w:pStyle w:val="6"/>
              <w:spacing w:before="59"/>
              <w:ind w:left="260"/>
            </w:pPr>
            <w:r>
              <w:t>3</w:t>
            </w:r>
          </w:p>
        </w:tc>
        <w:tc>
          <w:tcPr>
            <w:tcW w:w="704" w:type="dxa"/>
            <w:vAlign w:val="top"/>
          </w:tcPr>
          <w:p w14:paraId="0EAC1371">
            <w:pPr>
              <w:spacing w:line="270" w:lineRule="auto"/>
              <w:rPr>
                <w:rFonts w:ascii="Arial"/>
                <w:sz w:val="21"/>
              </w:rPr>
            </w:pPr>
          </w:p>
          <w:p w14:paraId="686A8A8F">
            <w:pPr>
              <w:pStyle w:val="6"/>
              <w:spacing w:before="59"/>
              <w:ind w:left="316"/>
            </w:pPr>
            <w:r>
              <w:t>3</w:t>
            </w:r>
          </w:p>
        </w:tc>
        <w:tc>
          <w:tcPr>
            <w:tcW w:w="1361" w:type="dxa"/>
            <w:vAlign w:val="top"/>
          </w:tcPr>
          <w:p w14:paraId="7CE7F536">
            <w:pPr>
              <w:rPr>
                <w:rFonts w:ascii="Arial"/>
                <w:sz w:val="21"/>
              </w:rPr>
            </w:pPr>
          </w:p>
        </w:tc>
      </w:tr>
      <w:tr w14:paraId="6E491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082109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5F03F984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51E6276F">
            <w:pPr>
              <w:spacing w:line="264" w:lineRule="auto"/>
              <w:rPr>
                <w:rFonts w:ascii="Arial"/>
                <w:sz w:val="21"/>
              </w:rPr>
            </w:pPr>
          </w:p>
          <w:p w14:paraId="00970105">
            <w:pPr>
              <w:spacing w:line="264" w:lineRule="auto"/>
              <w:rPr>
                <w:rFonts w:ascii="Arial"/>
                <w:sz w:val="21"/>
              </w:rPr>
            </w:pPr>
          </w:p>
          <w:p w14:paraId="14A1CC64">
            <w:pPr>
              <w:spacing w:line="264" w:lineRule="auto"/>
              <w:rPr>
                <w:rFonts w:ascii="Arial"/>
                <w:sz w:val="21"/>
              </w:rPr>
            </w:pPr>
          </w:p>
          <w:p w14:paraId="234611A3">
            <w:pPr>
              <w:spacing w:line="265" w:lineRule="auto"/>
              <w:rPr>
                <w:rFonts w:ascii="Arial"/>
                <w:sz w:val="21"/>
              </w:rPr>
            </w:pPr>
          </w:p>
          <w:p w14:paraId="317FCB57">
            <w:pPr>
              <w:spacing w:line="265" w:lineRule="auto"/>
              <w:rPr>
                <w:rFonts w:ascii="Arial"/>
                <w:sz w:val="21"/>
              </w:rPr>
            </w:pPr>
          </w:p>
          <w:p w14:paraId="51303777">
            <w:pPr>
              <w:spacing w:line="265" w:lineRule="auto"/>
              <w:rPr>
                <w:rFonts w:ascii="Arial"/>
                <w:sz w:val="21"/>
              </w:rPr>
            </w:pPr>
          </w:p>
          <w:p w14:paraId="302AB302">
            <w:pPr>
              <w:pStyle w:val="6"/>
              <w:spacing w:before="59" w:line="220" w:lineRule="auto"/>
              <w:ind w:left="128"/>
            </w:pPr>
            <w:r>
              <w:rPr>
                <w:spacing w:val="-2"/>
              </w:rPr>
              <w:t>质量指标</w:t>
            </w:r>
          </w:p>
        </w:tc>
        <w:tc>
          <w:tcPr>
            <w:tcW w:w="1281" w:type="dxa"/>
            <w:vAlign w:val="top"/>
          </w:tcPr>
          <w:p w14:paraId="0673A946">
            <w:pPr>
              <w:pStyle w:val="6"/>
              <w:spacing w:before="177" w:line="322" w:lineRule="auto"/>
              <w:ind w:left="465" w:right="187" w:hanging="270"/>
            </w:pPr>
            <w:r>
              <w:rPr>
                <w:spacing w:val="-2"/>
              </w:rPr>
              <w:t>认罪认罚适</w:t>
            </w:r>
            <w:r>
              <w:rPr>
                <w:spacing w:val="-5"/>
              </w:rPr>
              <w:t>用率</w:t>
            </w:r>
          </w:p>
        </w:tc>
        <w:tc>
          <w:tcPr>
            <w:tcW w:w="600" w:type="dxa"/>
            <w:vAlign w:val="top"/>
          </w:tcPr>
          <w:p w14:paraId="76D4EE17">
            <w:pPr>
              <w:spacing w:line="272" w:lineRule="auto"/>
              <w:rPr>
                <w:rFonts w:ascii="Arial"/>
                <w:sz w:val="21"/>
              </w:rPr>
            </w:pPr>
          </w:p>
          <w:p w14:paraId="73C43684">
            <w:pPr>
              <w:pStyle w:val="6"/>
              <w:spacing w:before="59" w:line="221" w:lineRule="auto"/>
              <w:ind w:left="127"/>
            </w:pPr>
            <w:r>
              <w:rPr>
                <w:spacing w:val="-6"/>
              </w:rPr>
              <w:t>正向</w:t>
            </w:r>
          </w:p>
        </w:tc>
        <w:tc>
          <w:tcPr>
            <w:tcW w:w="675" w:type="dxa"/>
            <w:vAlign w:val="top"/>
          </w:tcPr>
          <w:p w14:paraId="62B63504">
            <w:pPr>
              <w:pStyle w:val="6"/>
              <w:spacing w:before="177" w:line="220" w:lineRule="auto"/>
              <w:ind w:left="164"/>
            </w:pPr>
            <w:r>
              <w:rPr>
                <w:spacing w:val="-5"/>
              </w:rPr>
              <w:t>大于</w:t>
            </w:r>
          </w:p>
          <w:p w14:paraId="6B113D33">
            <w:pPr>
              <w:pStyle w:val="6"/>
              <w:spacing w:before="97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6BCF30FF">
            <w:pPr>
              <w:spacing w:line="272" w:lineRule="auto"/>
              <w:rPr>
                <w:rFonts w:ascii="Arial"/>
                <w:sz w:val="21"/>
              </w:rPr>
            </w:pPr>
          </w:p>
          <w:p w14:paraId="31710C79">
            <w:pPr>
              <w:pStyle w:val="6"/>
              <w:spacing w:before="59"/>
              <w:ind w:left="265"/>
            </w:pPr>
            <w:r>
              <w:rPr>
                <w:spacing w:val="-4"/>
              </w:rPr>
              <w:t>90</w:t>
            </w:r>
          </w:p>
        </w:tc>
        <w:tc>
          <w:tcPr>
            <w:tcW w:w="771" w:type="dxa"/>
            <w:vAlign w:val="top"/>
          </w:tcPr>
          <w:p w14:paraId="40E4EF41">
            <w:pPr>
              <w:spacing w:line="273" w:lineRule="auto"/>
              <w:rPr>
                <w:rFonts w:ascii="Arial"/>
                <w:sz w:val="21"/>
              </w:rPr>
            </w:pPr>
          </w:p>
          <w:p w14:paraId="2C9756B8">
            <w:pPr>
              <w:pStyle w:val="6"/>
              <w:spacing w:before="58" w:line="239" w:lineRule="auto"/>
              <w:ind w:left="167"/>
            </w:pPr>
            <w:r>
              <w:rPr>
                <w:spacing w:val="-2"/>
              </w:rPr>
              <w:t>90.34</w:t>
            </w:r>
          </w:p>
        </w:tc>
        <w:tc>
          <w:tcPr>
            <w:tcW w:w="658" w:type="dxa"/>
            <w:vAlign w:val="top"/>
          </w:tcPr>
          <w:p w14:paraId="17179B4D">
            <w:pPr>
              <w:spacing w:line="272" w:lineRule="auto"/>
              <w:rPr>
                <w:rFonts w:ascii="Arial"/>
                <w:sz w:val="21"/>
              </w:rPr>
            </w:pPr>
          </w:p>
          <w:p w14:paraId="46E10C85">
            <w:pPr>
              <w:pStyle w:val="6"/>
              <w:spacing w:before="59"/>
              <w:ind w:left="283"/>
            </w:pPr>
            <w:r>
              <w:t>%</w:t>
            </w:r>
          </w:p>
        </w:tc>
        <w:tc>
          <w:tcPr>
            <w:tcW w:w="595" w:type="dxa"/>
            <w:vAlign w:val="top"/>
          </w:tcPr>
          <w:p w14:paraId="687FC38E">
            <w:pPr>
              <w:spacing w:line="272" w:lineRule="auto"/>
              <w:rPr>
                <w:rFonts w:ascii="Arial"/>
                <w:sz w:val="21"/>
              </w:rPr>
            </w:pPr>
          </w:p>
          <w:p w14:paraId="4D9AA102">
            <w:pPr>
              <w:pStyle w:val="6"/>
              <w:spacing w:before="59"/>
              <w:ind w:left="260"/>
            </w:pPr>
            <w:r>
              <w:t>5</w:t>
            </w:r>
          </w:p>
        </w:tc>
        <w:tc>
          <w:tcPr>
            <w:tcW w:w="704" w:type="dxa"/>
            <w:vAlign w:val="top"/>
          </w:tcPr>
          <w:p w14:paraId="24808AB3">
            <w:pPr>
              <w:spacing w:line="272" w:lineRule="auto"/>
              <w:rPr>
                <w:rFonts w:ascii="Arial"/>
                <w:sz w:val="21"/>
              </w:rPr>
            </w:pPr>
          </w:p>
          <w:p w14:paraId="2CB579DB">
            <w:pPr>
              <w:pStyle w:val="6"/>
              <w:spacing w:before="59"/>
              <w:ind w:left="316"/>
            </w:pPr>
            <w:r>
              <w:t>5</w:t>
            </w:r>
          </w:p>
        </w:tc>
        <w:tc>
          <w:tcPr>
            <w:tcW w:w="1361" w:type="dxa"/>
            <w:vAlign w:val="top"/>
          </w:tcPr>
          <w:p w14:paraId="3C4B1260">
            <w:pPr>
              <w:rPr>
                <w:rFonts w:ascii="Arial"/>
                <w:sz w:val="21"/>
              </w:rPr>
            </w:pPr>
          </w:p>
        </w:tc>
      </w:tr>
      <w:tr w14:paraId="18EA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2730F7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70C56CBC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 w14:paraId="00066AC7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01D0D2E3">
            <w:pPr>
              <w:pStyle w:val="6"/>
              <w:spacing w:before="177" w:line="322" w:lineRule="auto"/>
              <w:ind w:left="463" w:right="187" w:hanging="263"/>
            </w:pPr>
            <w:r>
              <w:rPr>
                <w:spacing w:val="-3"/>
              </w:rPr>
              <w:t>公车维护合</w:t>
            </w:r>
            <w:r>
              <w:rPr>
                <w:spacing w:val="-4"/>
              </w:rPr>
              <w:t>格率</w:t>
            </w:r>
          </w:p>
        </w:tc>
        <w:tc>
          <w:tcPr>
            <w:tcW w:w="600" w:type="dxa"/>
            <w:vAlign w:val="top"/>
          </w:tcPr>
          <w:p w14:paraId="63DA8F67">
            <w:pPr>
              <w:spacing w:line="272" w:lineRule="auto"/>
              <w:rPr>
                <w:rFonts w:ascii="Arial"/>
                <w:sz w:val="21"/>
              </w:rPr>
            </w:pPr>
          </w:p>
          <w:p w14:paraId="61CEFFFC">
            <w:pPr>
              <w:pStyle w:val="6"/>
              <w:spacing w:before="59" w:line="221" w:lineRule="auto"/>
              <w:ind w:left="127"/>
            </w:pPr>
            <w:r>
              <w:rPr>
                <w:spacing w:val="-6"/>
              </w:rPr>
              <w:t>正向</w:t>
            </w:r>
          </w:p>
        </w:tc>
        <w:tc>
          <w:tcPr>
            <w:tcW w:w="675" w:type="dxa"/>
            <w:vAlign w:val="top"/>
          </w:tcPr>
          <w:p w14:paraId="223D345D">
            <w:pPr>
              <w:spacing w:line="273" w:lineRule="auto"/>
              <w:rPr>
                <w:rFonts w:ascii="Arial"/>
                <w:sz w:val="21"/>
              </w:rPr>
            </w:pPr>
          </w:p>
          <w:p w14:paraId="31C7BF04">
            <w:pPr>
              <w:pStyle w:val="6"/>
              <w:spacing w:before="58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4D275637">
            <w:pPr>
              <w:spacing w:line="272" w:lineRule="auto"/>
              <w:rPr>
                <w:rFonts w:ascii="Arial"/>
                <w:sz w:val="21"/>
              </w:rPr>
            </w:pPr>
          </w:p>
          <w:p w14:paraId="2F16DADA">
            <w:pPr>
              <w:pStyle w:val="6"/>
              <w:spacing w:before="58"/>
              <w:ind w:left="232"/>
            </w:pPr>
            <w:r>
              <w:rPr>
                <w:spacing w:val="-7"/>
              </w:rPr>
              <w:t>100</w:t>
            </w:r>
          </w:p>
        </w:tc>
        <w:tc>
          <w:tcPr>
            <w:tcW w:w="771" w:type="dxa"/>
            <w:vAlign w:val="top"/>
          </w:tcPr>
          <w:p w14:paraId="6D37CF0E">
            <w:pPr>
              <w:spacing w:line="272" w:lineRule="auto"/>
              <w:rPr>
                <w:rFonts w:ascii="Arial"/>
                <w:sz w:val="21"/>
              </w:rPr>
            </w:pPr>
          </w:p>
          <w:p w14:paraId="7F6A5AF0">
            <w:pPr>
              <w:pStyle w:val="6"/>
              <w:spacing w:before="59" w:line="239" w:lineRule="auto"/>
              <w:ind w:left="134"/>
            </w:pPr>
            <w:r>
              <w:rPr>
                <w:spacing w:val="-4"/>
              </w:rPr>
              <w:t>100.00</w:t>
            </w:r>
          </w:p>
        </w:tc>
        <w:tc>
          <w:tcPr>
            <w:tcW w:w="658" w:type="dxa"/>
            <w:vAlign w:val="top"/>
          </w:tcPr>
          <w:p w14:paraId="06691B68">
            <w:pPr>
              <w:spacing w:line="272" w:lineRule="auto"/>
              <w:rPr>
                <w:rFonts w:ascii="Arial"/>
                <w:sz w:val="21"/>
              </w:rPr>
            </w:pPr>
          </w:p>
          <w:p w14:paraId="581FFC56">
            <w:pPr>
              <w:pStyle w:val="6"/>
              <w:spacing w:before="58"/>
              <w:ind w:left="283"/>
            </w:pPr>
            <w:r>
              <w:t>%</w:t>
            </w:r>
          </w:p>
        </w:tc>
        <w:tc>
          <w:tcPr>
            <w:tcW w:w="595" w:type="dxa"/>
            <w:vAlign w:val="top"/>
          </w:tcPr>
          <w:p w14:paraId="75904C44">
            <w:pPr>
              <w:spacing w:line="272" w:lineRule="auto"/>
              <w:rPr>
                <w:rFonts w:ascii="Arial"/>
                <w:sz w:val="21"/>
              </w:rPr>
            </w:pPr>
          </w:p>
          <w:p w14:paraId="663DD6E2">
            <w:pPr>
              <w:pStyle w:val="6"/>
              <w:spacing w:before="58"/>
              <w:ind w:left="260"/>
            </w:pPr>
            <w:r>
              <w:t>3</w:t>
            </w:r>
          </w:p>
        </w:tc>
        <w:tc>
          <w:tcPr>
            <w:tcW w:w="704" w:type="dxa"/>
            <w:vAlign w:val="top"/>
          </w:tcPr>
          <w:p w14:paraId="4CCA6486">
            <w:pPr>
              <w:spacing w:line="272" w:lineRule="auto"/>
              <w:rPr>
                <w:rFonts w:ascii="Arial"/>
                <w:sz w:val="21"/>
              </w:rPr>
            </w:pPr>
          </w:p>
          <w:p w14:paraId="08256611">
            <w:pPr>
              <w:pStyle w:val="6"/>
              <w:spacing w:before="58"/>
              <w:ind w:left="316"/>
            </w:pPr>
            <w:r>
              <w:t>3</w:t>
            </w:r>
          </w:p>
        </w:tc>
        <w:tc>
          <w:tcPr>
            <w:tcW w:w="1361" w:type="dxa"/>
            <w:vAlign w:val="top"/>
          </w:tcPr>
          <w:p w14:paraId="1F0A985D">
            <w:pPr>
              <w:rPr>
                <w:rFonts w:ascii="Arial"/>
                <w:sz w:val="21"/>
              </w:rPr>
            </w:pPr>
          </w:p>
        </w:tc>
      </w:tr>
      <w:tr w14:paraId="6F83F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BE0121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1E62D2AF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 w14:paraId="40166D1A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5E697185">
            <w:pPr>
              <w:pStyle w:val="6"/>
              <w:spacing w:before="68" w:line="219" w:lineRule="auto"/>
              <w:ind w:left="196"/>
            </w:pPr>
            <w:r>
              <w:rPr>
                <w:spacing w:val="-2"/>
              </w:rPr>
              <w:t>刑事检察审</w:t>
            </w:r>
          </w:p>
          <w:p w14:paraId="60A79BD9">
            <w:pPr>
              <w:pStyle w:val="6"/>
              <w:spacing w:before="98" w:line="282" w:lineRule="auto"/>
              <w:ind w:left="379" w:right="187" w:hanging="182"/>
            </w:pPr>
            <w:r>
              <w:rPr>
                <w:spacing w:val="-2"/>
              </w:rPr>
              <w:t>查起诉案件</w:t>
            </w:r>
            <w:r>
              <w:rPr>
                <w:spacing w:val="-4"/>
              </w:rPr>
              <w:t>结案率</w:t>
            </w:r>
          </w:p>
        </w:tc>
        <w:tc>
          <w:tcPr>
            <w:tcW w:w="600" w:type="dxa"/>
            <w:vAlign w:val="top"/>
          </w:tcPr>
          <w:p w14:paraId="4146DC1F">
            <w:pPr>
              <w:spacing w:line="319" w:lineRule="auto"/>
              <w:rPr>
                <w:rFonts w:ascii="Arial"/>
                <w:sz w:val="21"/>
              </w:rPr>
            </w:pPr>
          </w:p>
          <w:p w14:paraId="1548A51F">
            <w:pPr>
              <w:pStyle w:val="6"/>
              <w:spacing w:before="59" w:line="221" w:lineRule="auto"/>
              <w:ind w:left="127"/>
            </w:pPr>
            <w:r>
              <w:rPr>
                <w:spacing w:val="-6"/>
              </w:rPr>
              <w:t>正向</w:t>
            </w:r>
          </w:p>
        </w:tc>
        <w:tc>
          <w:tcPr>
            <w:tcW w:w="675" w:type="dxa"/>
            <w:vAlign w:val="top"/>
          </w:tcPr>
          <w:p w14:paraId="1A55F620">
            <w:pPr>
              <w:pStyle w:val="6"/>
              <w:spacing w:before="224" w:line="220" w:lineRule="auto"/>
              <w:ind w:left="164"/>
            </w:pPr>
            <w:r>
              <w:rPr>
                <w:spacing w:val="-5"/>
              </w:rPr>
              <w:t>大于</w:t>
            </w:r>
          </w:p>
          <w:p w14:paraId="75799FA5">
            <w:pPr>
              <w:pStyle w:val="6"/>
              <w:spacing w:before="97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36D53876">
            <w:pPr>
              <w:spacing w:line="319" w:lineRule="auto"/>
              <w:rPr>
                <w:rFonts w:ascii="Arial"/>
                <w:sz w:val="21"/>
              </w:rPr>
            </w:pPr>
          </w:p>
          <w:p w14:paraId="5A27E682">
            <w:pPr>
              <w:pStyle w:val="6"/>
              <w:spacing w:before="59"/>
              <w:ind w:left="265"/>
            </w:pPr>
            <w:r>
              <w:rPr>
                <w:spacing w:val="-4"/>
              </w:rPr>
              <w:t>90</w:t>
            </w:r>
          </w:p>
        </w:tc>
        <w:tc>
          <w:tcPr>
            <w:tcW w:w="771" w:type="dxa"/>
            <w:vAlign w:val="top"/>
          </w:tcPr>
          <w:p w14:paraId="4C934D33">
            <w:pPr>
              <w:spacing w:line="319" w:lineRule="auto"/>
              <w:rPr>
                <w:rFonts w:ascii="Arial"/>
                <w:sz w:val="21"/>
              </w:rPr>
            </w:pPr>
          </w:p>
          <w:p w14:paraId="295A403E">
            <w:pPr>
              <w:pStyle w:val="6"/>
              <w:spacing w:before="59" w:line="239" w:lineRule="auto"/>
              <w:ind w:left="167"/>
            </w:pPr>
            <w:r>
              <w:rPr>
                <w:spacing w:val="-2"/>
              </w:rPr>
              <w:t>98.50</w:t>
            </w:r>
          </w:p>
        </w:tc>
        <w:tc>
          <w:tcPr>
            <w:tcW w:w="658" w:type="dxa"/>
            <w:vAlign w:val="top"/>
          </w:tcPr>
          <w:p w14:paraId="3E4221AD">
            <w:pPr>
              <w:spacing w:line="319" w:lineRule="auto"/>
              <w:rPr>
                <w:rFonts w:ascii="Arial"/>
                <w:sz w:val="21"/>
              </w:rPr>
            </w:pPr>
          </w:p>
          <w:p w14:paraId="69B74791">
            <w:pPr>
              <w:pStyle w:val="6"/>
              <w:spacing w:before="59"/>
              <w:ind w:left="283"/>
            </w:pPr>
            <w:r>
              <w:t>%</w:t>
            </w:r>
          </w:p>
        </w:tc>
        <w:tc>
          <w:tcPr>
            <w:tcW w:w="595" w:type="dxa"/>
            <w:vAlign w:val="top"/>
          </w:tcPr>
          <w:p w14:paraId="69C24DD5">
            <w:pPr>
              <w:spacing w:line="319" w:lineRule="auto"/>
              <w:rPr>
                <w:rFonts w:ascii="Arial"/>
                <w:sz w:val="21"/>
              </w:rPr>
            </w:pPr>
          </w:p>
          <w:p w14:paraId="6E606234">
            <w:pPr>
              <w:pStyle w:val="6"/>
              <w:spacing w:before="59"/>
              <w:ind w:left="260"/>
            </w:pPr>
            <w:r>
              <w:t>5</w:t>
            </w:r>
          </w:p>
        </w:tc>
        <w:tc>
          <w:tcPr>
            <w:tcW w:w="704" w:type="dxa"/>
            <w:vAlign w:val="top"/>
          </w:tcPr>
          <w:p w14:paraId="666EB2F7">
            <w:pPr>
              <w:spacing w:line="319" w:lineRule="auto"/>
              <w:rPr>
                <w:rFonts w:ascii="Arial"/>
                <w:sz w:val="21"/>
              </w:rPr>
            </w:pPr>
          </w:p>
          <w:p w14:paraId="3924BA06">
            <w:pPr>
              <w:pStyle w:val="6"/>
              <w:spacing w:before="59"/>
              <w:ind w:left="316"/>
            </w:pPr>
            <w:r>
              <w:t>5</w:t>
            </w:r>
          </w:p>
        </w:tc>
        <w:tc>
          <w:tcPr>
            <w:tcW w:w="1361" w:type="dxa"/>
            <w:vAlign w:val="top"/>
          </w:tcPr>
          <w:p w14:paraId="6EC5EE5E">
            <w:pPr>
              <w:rPr>
                <w:rFonts w:ascii="Arial"/>
                <w:sz w:val="21"/>
              </w:rPr>
            </w:pPr>
          </w:p>
        </w:tc>
      </w:tr>
      <w:tr w14:paraId="7F4B3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C489EE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62CED5D1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14FEFCDC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54340F88">
            <w:pPr>
              <w:pStyle w:val="6"/>
              <w:spacing w:before="176" w:line="322" w:lineRule="auto"/>
              <w:ind w:left="464" w:right="187" w:hanging="270"/>
            </w:pPr>
            <w:r>
              <w:rPr>
                <w:spacing w:val="-2"/>
              </w:rPr>
              <w:t>委托服务达</w:t>
            </w:r>
            <w:r>
              <w:rPr>
                <w:spacing w:val="-4"/>
              </w:rPr>
              <w:t>标率</w:t>
            </w:r>
          </w:p>
        </w:tc>
        <w:tc>
          <w:tcPr>
            <w:tcW w:w="600" w:type="dxa"/>
            <w:vAlign w:val="top"/>
          </w:tcPr>
          <w:p w14:paraId="7A8E7C2F">
            <w:pPr>
              <w:spacing w:line="271" w:lineRule="auto"/>
              <w:rPr>
                <w:rFonts w:ascii="Arial"/>
                <w:sz w:val="21"/>
              </w:rPr>
            </w:pPr>
          </w:p>
          <w:p w14:paraId="7E4B5E52">
            <w:pPr>
              <w:pStyle w:val="6"/>
              <w:spacing w:before="59" w:line="221" w:lineRule="auto"/>
              <w:ind w:left="127"/>
            </w:pPr>
            <w:r>
              <w:rPr>
                <w:spacing w:val="-6"/>
              </w:rPr>
              <w:t>正向</w:t>
            </w:r>
          </w:p>
        </w:tc>
        <w:tc>
          <w:tcPr>
            <w:tcW w:w="675" w:type="dxa"/>
            <w:vAlign w:val="top"/>
          </w:tcPr>
          <w:p w14:paraId="3AF8C4B3">
            <w:pPr>
              <w:spacing w:line="272" w:lineRule="auto"/>
              <w:rPr>
                <w:rFonts w:ascii="Arial"/>
                <w:sz w:val="21"/>
              </w:rPr>
            </w:pPr>
          </w:p>
          <w:p w14:paraId="1088CFD5">
            <w:pPr>
              <w:pStyle w:val="6"/>
              <w:spacing w:before="58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0699EAED">
            <w:pPr>
              <w:spacing w:line="271" w:lineRule="auto"/>
              <w:rPr>
                <w:rFonts w:ascii="Arial"/>
                <w:sz w:val="21"/>
              </w:rPr>
            </w:pPr>
          </w:p>
          <w:p w14:paraId="4D511024">
            <w:pPr>
              <w:pStyle w:val="6"/>
              <w:spacing w:before="59"/>
              <w:ind w:left="232"/>
            </w:pPr>
            <w:r>
              <w:rPr>
                <w:spacing w:val="-7"/>
              </w:rPr>
              <w:t>100</w:t>
            </w:r>
          </w:p>
        </w:tc>
        <w:tc>
          <w:tcPr>
            <w:tcW w:w="771" w:type="dxa"/>
            <w:vAlign w:val="top"/>
          </w:tcPr>
          <w:p w14:paraId="31B94F10">
            <w:pPr>
              <w:spacing w:line="271" w:lineRule="auto"/>
              <w:rPr>
                <w:rFonts w:ascii="Arial"/>
                <w:sz w:val="21"/>
              </w:rPr>
            </w:pPr>
          </w:p>
          <w:p w14:paraId="6EF180C8">
            <w:pPr>
              <w:pStyle w:val="6"/>
              <w:spacing w:before="59" w:line="239" w:lineRule="auto"/>
              <w:ind w:left="134"/>
            </w:pPr>
            <w:r>
              <w:rPr>
                <w:spacing w:val="-4"/>
              </w:rPr>
              <w:t>100.00</w:t>
            </w:r>
          </w:p>
        </w:tc>
        <w:tc>
          <w:tcPr>
            <w:tcW w:w="658" w:type="dxa"/>
            <w:vAlign w:val="top"/>
          </w:tcPr>
          <w:p w14:paraId="228E6C74">
            <w:pPr>
              <w:spacing w:line="271" w:lineRule="auto"/>
              <w:rPr>
                <w:rFonts w:ascii="Arial"/>
                <w:sz w:val="21"/>
              </w:rPr>
            </w:pPr>
          </w:p>
          <w:p w14:paraId="5B91D823">
            <w:pPr>
              <w:pStyle w:val="6"/>
              <w:spacing w:before="59"/>
              <w:ind w:left="283"/>
            </w:pPr>
            <w:r>
              <w:t>%</w:t>
            </w:r>
          </w:p>
        </w:tc>
        <w:tc>
          <w:tcPr>
            <w:tcW w:w="595" w:type="dxa"/>
            <w:vAlign w:val="top"/>
          </w:tcPr>
          <w:p w14:paraId="715F6F96">
            <w:pPr>
              <w:spacing w:line="271" w:lineRule="auto"/>
              <w:rPr>
                <w:rFonts w:ascii="Arial"/>
                <w:sz w:val="21"/>
              </w:rPr>
            </w:pPr>
          </w:p>
          <w:p w14:paraId="756A02D0">
            <w:pPr>
              <w:pStyle w:val="6"/>
              <w:spacing w:before="59" w:line="241" w:lineRule="auto"/>
              <w:ind w:left="259"/>
            </w:pPr>
            <w:r>
              <w:t>2</w:t>
            </w:r>
          </w:p>
        </w:tc>
        <w:tc>
          <w:tcPr>
            <w:tcW w:w="704" w:type="dxa"/>
            <w:vAlign w:val="top"/>
          </w:tcPr>
          <w:p w14:paraId="0B6F045E">
            <w:pPr>
              <w:spacing w:line="271" w:lineRule="auto"/>
              <w:rPr>
                <w:rFonts w:ascii="Arial"/>
                <w:sz w:val="21"/>
              </w:rPr>
            </w:pPr>
          </w:p>
          <w:p w14:paraId="2D3EAA84">
            <w:pPr>
              <w:pStyle w:val="6"/>
              <w:spacing w:before="59" w:line="241" w:lineRule="auto"/>
              <w:ind w:left="314"/>
            </w:pPr>
            <w:r>
              <w:t>2</w:t>
            </w:r>
          </w:p>
        </w:tc>
        <w:tc>
          <w:tcPr>
            <w:tcW w:w="1361" w:type="dxa"/>
            <w:vAlign w:val="top"/>
          </w:tcPr>
          <w:p w14:paraId="27F91718">
            <w:pPr>
              <w:rPr>
                <w:rFonts w:ascii="Arial"/>
                <w:sz w:val="21"/>
              </w:rPr>
            </w:pPr>
          </w:p>
        </w:tc>
      </w:tr>
      <w:tr w14:paraId="7D4E1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95E1B0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1B351D28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7FD8C50F">
            <w:pPr>
              <w:spacing w:line="247" w:lineRule="auto"/>
              <w:rPr>
                <w:rFonts w:ascii="Arial"/>
                <w:sz w:val="21"/>
              </w:rPr>
            </w:pPr>
          </w:p>
          <w:p w14:paraId="406FAEB8">
            <w:pPr>
              <w:spacing w:line="247" w:lineRule="auto"/>
              <w:rPr>
                <w:rFonts w:ascii="Arial"/>
                <w:sz w:val="21"/>
              </w:rPr>
            </w:pPr>
          </w:p>
          <w:p w14:paraId="4C35EE41">
            <w:pPr>
              <w:spacing w:line="247" w:lineRule="auto"/>
              <w:rPr>
                <w:rFonts w:ascii="Arial"/>
                <w:sz w:val="21"/>
              </w:rPr>
            </w:pPr>
          </w:p>
          <w:p w14:paraId="1067475A">
            <w:pPr>
              <w:pStyle w:val="6"/>
              <w:spacing w:before="59" w:line="220" w:lineRule="auto"/>
              <w:ind w:left="136"/>
            </w:pPr>
            <w:r>
              <w:rPr>
                <w:spacing w:val="-4"/>
              </w:rPr>
              <w:t>时效指标</w:t>
            </w:r>
          </w:p>
        </w:tc>
        <w:tc>
          <w:tcPr>
            <w:tcW w:w="1281" w:type="dxa"/>
            <w:vAlign w:val="top"/>
          </w:tcPr>
          <w:p w14:paraId="7DE170C2">
            <w:pPr>
              <w:pStyle w:val="6"/>
              <w:spacing w:before="68" w:line="219" w:lineRule="auto"/>
              <w:ind w:left="198"/>
            </w:pPr>
            <w:r>
              <w:rPr>
                <w:spacing w:val="-3"/>
              </w:rPr>
              <w:t>受理刑事检</w:t>
            </w:r>
          </w:p>
          <w:p w14:paraId="41042C51">
            <w:pPr>
              <w:pStyle w:val="6"/>
              <w:spacing w:before="97" w:line="283" w:lineRule="auto"/>
              <w:ind w:left="556" w:right="187" w:hanging="359"/>
            </w:pPr>
            <w:r>
              <w:rPr>
                <w:spacing w:val="-2"/>
              </w:rPr>
              <w:t>察案件及时</w:t>
            </w:r>
            <w:r>
              <w:t>率</w:t>
            </w:r>
          </w:p>
        </w:tc>
        <w:tc>
          <w:tcPr>
            <w:tcW w:w="600" w:type="dxa"/>
            <w:vAlign w:val="top"/>
          </w:tcPr>
          <w:p w14:paraId="6BA37A3C">
            <w:pPr>
              <w:spacing w:line="319" w:lineRule="auto"/>
              <w:rPr>
                <w:rFonts w:ascii="Arial"/>
                <w:sz w:val="21"/>
              </w:rPr>
            </w:pPr>
          </w:p>
          <w:p w14:paraId="575625FF">
            <w:pPr>
              <w:pStyle w:val="6"/>
              <w:spacing w:before="58" w:line="221" w:lineRule="auto"/>
              <w:ind w:left="127"/>
            </w:pPr>
            <w:r>
              <w:rPr>
                <w:spacing w:val="-6"/>
              </w:rPr>
              <w:t>正向</w:t>
            </w:r>
          </w:p>
        </w:tc>
        <w:tc>
          <w:tcPr>
            <w:tcW w:w="675" w:type="dxa"/>
            <w:vAlign w:val="top"/>
          </w:tcPr>
          <w:p w14:paraId="1992ACFC">
            <w:pPr>
              <w:spacing w:line="319" w:lineRule="auto"/>
              <w:rPr>
                <w:rFonts w:ascii="Arial"/>
                <w:sz w:val="21"/>
              </w:rPr>
            </w:pPr>
          </w:p>
          <w:p w14:paraId="159F4D46">
            <w:pPr>
              <w:pStyle w:val="6"/>
              <w:spacing w:before="59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445F7C35">
            <w:pPr>
              <w:spacing w:line="318" w:lineRule="auto"/>
              <w:rPr>
                <w:rFonts w:ascii="Arial"/>
                <w:sz w:val="21"/>
              </w:rPr>
            </w:pPr>
          </w:p>
          <w:p w14:paraId="01394B19">
            <w:pPr>
              <w:pStyle w:val="6"/>
              <w:spacing w:before="59"/>
              <w:ind w:left="232"/>
            </w:pPr>
            <w:r>
              <w:rPr>
                <w:spacing w:val="-7"/>
              </w:rPr>
              <w:t>100</w:t>
            </w:r>
          </w:p>
        </w:tc>
        <w:tc>
          <w:tcPr>
            <w:tcW w:w="771" w:type="dxa"/>
            <w:vAlign w:val="top"/>
          </w:tcPr>
          <w:p w14:paraId="422C4392">
            <w:pPr>
              <w:spacing w:line="319" w:lineRule="auto"/>
              <w:rPr>
                <w:rFonts w:ascii="Arial"/>
                <w:sz w:val="21"/>
              </w:rPr>
            </w:pPr>
          </w:p>
          <w:p w14:paraId="0AEF83D9">
            <w:pPr>
              <w:pStyle w:val="6"/>
              <w:spacing w:before="58" w:line="239" w:lineRule="auto"/>
              <w:ind w:left="134"/>
            </w:pPr>
            <w:r>
              <w:rPr>
                <w:spacing w:val="-4"/>
              </w:rPr>
              <w:t>100.00</w:t>
            </w:r>
          </w:p>
        </w:tc>
        <w:tc>
          <w:tcPr>
            <w:tcW w:w="658" w:type="dxa"/>
            <w:vAlign w:val="top"/>
          </w:tcPr>
          <w:p w14:paraId="5E901065">
            <w:pPr>
              <w:spacing w:line="318" w:lineRule="auto"/>
              <w:rPr>
                <w:rFonts w:ascii="Arial"/>
                <w:sz w:val="21"/>
              </w:rPr>
            </w:pPr>
          </w:p>
          <w:p w14:paraId="051F0393">
            <w:pPr>
              <w:pStyle w:val="6"/>
              <w:spacing w:before="59"/>
              <w:ind w:left="283"/>
            </w:pPr>
            <w:r>
              <w:t>%</w:t>
            </w:r>
          </w:p>
        </w:tc>
        <w:tc>
          <w:tcPr>
            <w:tcW w:w="595" w:type="dxa"/>
            <w:vAlign w:val="top"/>
          </w:tcPr>
          <w:p w14:paraId="25E0B4AA">
            <w:pPr>
              <w:spacing w:line="318" w:lineRule="auto"/>
              <w:rPr>
                <w:rFonts w:ascii="Arial"/>
                <w:sz w:val="21"/>
              </w:rPr>
            </w:pPr>
          </w:p>
          <w:p w14:paraId="20423F75">
            <w:pPr>
              <w:pStyle w:val="6"/>
              <w:spacing w:before="59"/>
              <w:ind w:left="260"/>
            </w:pPr>
            <w:r>
              <w:t>5</w:t>
            </w:r>
          </w:p>
        </w:tc>
        <w:tc>
          <w:tcPr>
            <w:tcW w:w="704" w:type="dxa"/>
            <w:vAlign w:val="top"/>
          </w:tcPr>
          <w:p w14:paraId="5D9FE24F">
            <w:pPr>
              <w:spacing w:line="318" w:lineRule="auto"/>
              <w:rPr>
                <w:rFonts w:ascii="Arial"/>
                <w:sz w:val="21"/>
              </w:rPr>
            </w:pPr>
          </w:p>
          <w:p w14:paraId="76E93087">
            <w:pPr>
              <w:pStyle w:val="6"/>
              <w:spacing w:before="59"/>
              <w:ind w:left="316"/>
            </w:pPr>
            <w:r>
              <w:t>5</w:t>
            </w:r>
          </w:p>
        </w:tc>
        <w:tc>
          <w:tcPr>
            <w:tcW w:w="1361" w:type="dxa"/>
            <w:vAlign w:val="top"/>
          </w:tcPr>
          <w:p w14:paraId="0822ECE2">
            <w:pPr>
              <w:rPr>
                <w:rFonts w:ascii="Arial"/>
                <w:sz w:val="21"/>
              </w:rPr>
            </w:pPr>
          </w:p>
        </w:tc>
      </w:tr>
      <w:tr w14:paraId="221A4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300308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34535C3E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20DE0CC2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1523A2CD">
            <w:pPr>
              <w:pStyle w:val="6"/>
              <w:spacing w:before="175" w:line="322" w:lineRule="auto"/>
              <w:ind w:left="471" w:right="187" w:hanging="269"/>
            </w:pPr>
            <w:r>
              <w:rPr>
                <w:spacing w:val="-3"/>
              </w:rPr>
              <w:t>资金支付及</w:t>
            </w:r>
            <w:r>
              <w:rPr>
                <w:spacing w:val="-8"/>
              </w:rPr>
              <w:t>时率</w:t>
            </w:r>
          </w:p>
        </w:tc>
        <w:tc>
          <w:tcPr>
            <w:tcW w:w="600" w:type="dxa"/>
            <w:vAlign w:val="top"/>
          </w:tcPr>
          <w:p w14:paraId="176AA9A8">
            <w:pPr>
              <w:spacing w:line="270" w:lineRule="auto"/>
              <w:rPr>
                <w:rFonts w:ascii="Arial"/>
                <w:sz w:val="21"/>
              </w:rPr>
            </w:pPr>
          </w:p>
          <w:p w14:paraId="2AAF3BDB">
            <w:pPr>
              <w:pStyle w:val="6"/>
              <w:spacing w:before="59" w:line="221" w:lineRule="auto"/>
              <w:ind w:left="127"/>
            </w:pPr>
            <w:r>
              <w:rPr>
                <w:spacing w:val="-6"/>
              </w:rPr>
              <w:t>正向</w:t>
            </w:r>
          </w:p>
        </w:tc>
        <w:tc>
          <w:tcPr>
            <w:tcW w:w="675" w:type="dxa"/>
            <w:vAlign w:val="top"/>
          </w:tcPr>
          <w:p w14:paraId="5C3F5040">
            <w:pPr>
              <w:spacing w:line="271" w:lineRule="auto"/>
              <w:rPr>
                <w:rFonts w:ascii="Arial"/>
                <w:sz w:val="21"/>
              </w:rPr>
            </w:pPr>
          </w:p>
          <w:p w14:paraId="35E148EA">
            <w:pPr>
              <w:pStyle w:val="6"/>
              <w:spacing w:before="59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185CE3D2">
            <w:pPr>
              <w:spacing w:line="270" w:lineRule="auto"/>
              <w:rPr>
                <w:rFonts w:ascii="Arial"/>
                <w:sz w:val="21"/>
              </w:rPr>
            </w:pPr>
          </w:p>
          <w:p w14:paraId="3A107AB8">
            <w:pPr>
              <w:pStyle w:val="6"/>
              <w:spacing w:before="59"/>
              <w:ind w:left="232"/>
            </w:pPr>
            <w:r>
              <w:rPr>
                <w:spacing w:val="-7"/>
              </w:rPr>
              <w:t>100</w:t>
            </w:r>
          </w:p>
        </w:tc>
        <w:tc>
          <w:tcPr>
            <w:tcW w:w="771" w:type="dxa"/>
            <w:vAlign w:val="top"/>
          </w:tcPr>
          <w:p w14:paraId="4B4BF69D">
            <w:pPr>
              <w:spacing w:line="271" w:lineRule="auto"/>
              <w:rPr>
                <w:rFonts w:ascii="Arial"/>
                <w:sz w:val="21"/>
              </w:rPr>
            </w:pPr>
          </w:p>
          <w:p w14:paraId="21A1859D">
            <w:pPr>
              <w:pStyle w:val="6"/>
              <w:spacing w:before="58" w:line="239" w:lineRule="auto"/>
              <w:ind w:left="134"/>
            </w:pPr>
            <w:r>
              <w:rPr>
                <w:spacing w:val="-4"/>
              </w:rPr>
              <w:t>100.00</w:t>
            </w:r>
          </w:p>
        </w:tc>
        <w:tc>
          <w:tcPr>
            <w:tcW w:w="658" w:type="dxa"/>
            <w:vAlign w:val="top"/>
          </w:tcPr>
          <w:p w14:paraId="137503B8">
            <w:pPr>
              <w:spacing w:line="270" w:lineRule="auto"/>
              <w:rPr>
                <w:rFonts w:ascii="Arial"/>
                <w:sz w:val="21"/>
              </w:rPr>
            </w:pPr>
          </w:p>
          <w:p w14:paraId="6EA9941D">
            <w:pPr>
              <w:pStyle w:val="6"/>
              <w:spacing w:before="59"/>
              <w:ind w:left="283"/>
            </w:pPr>
            <w:r>
              <w:t>%</w:t>
            </w:r>
          </w:p>
        </w:tc>
        <w:tc>
          <w:tcPr>
            <w:tcW w:w="595" w:type="dxa"/>
            <w:vAlign w:val="top"/>
          </w:tcPr>
          <w:p w14:paraId="47E54F2E">
            <w:pPr>
              <w:spacing w:line="270" w:lineRule="auto"/>
              <w:rPr>
                <w:rFonts w:ascii="Arial"/>
                <w:sz w:val="21"/>
              </w:rPr>
            </w:pPr>
          </w:p>
          <w:p w14:paraId="0F743626">
            <w:pPr>
              <w:pStyle w:val="6"/>
              <w:spacing w:before="59"/>
              <w:ind w:left="260"/>
            </w:pPr>
            <w:r>
              <w:t>5</w:t>
            </w:r>
          </w:p>
        </w:tc>
        <w:tc>
          <w:tcPr>
            <w:tcW w:w="704" w:type="dxa"/>
            <w:vAlign w:val="top"/>
          </w:tcPr>
          <w:p w14:paraId="0B251DD6">
            <w:pPr>
              <w:spacing w:line="270" w:lineRule="auto"/>
              <w:rPr>
                <w:rFonts w:ascii="Arial"/>
                <w:sz w:val="21"/>
              </w:rPr>
            </w:pPr>
          </w:p>
          <w:p w14:paraId="5FC535F0">
            <w:pPr>
              <w:pStyle w:val="6"/>
              <w:spacing w:before="59"/>
              <w:ind w:left="316"/>
            </w:pPr>
            <w:r>
              <w:t>5</w:t>
            </w:r>
          </w:p>
        </w:tc>
        <w:tc>
          <w:tcPr>
            <w:tcW w:w="1361" w:type="dxa"/>
            <w:vAlign w:val="top"/>
          </w:tcPr>
          <w:p w14:paraId="2358DD61">
            <w:pPr>
              <w:rPr>
                <w:rFonts w:ascii="Arial"/>
                <w:sz w:val="21"/>
              </w:rPr>
            </w:pPr>
          </w:p>
        </w:tc>
      </w:tr>
      <w:tr w14:paraId="39E99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C32DC96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4BE1CCB3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40B2D991">
            <w:pPr>
              <w:spacing w:line="279" w:lineRule="auto"/>
              <w:rPr>
                <w:rFonts w:ascii="Arial"/>
                <w:sz w:val="21"/>
              </w:rPr>
            </w:pPr>
          </w:p>
          <w:p w14:paraId="799F6EF6">
            <w:pPr>
              <w:spacing w:line="279" w:lineRule="auto"/>
              <w:rPr>
                <w:rFonts w:ascii="Arial"/>
                <w:sz w:val="21"/>
              </w:rPr>
            </w:pPr>
          </w:p>
          <w:p w14:paraId="3CC456A1">
            <w:pPr>
              <w:spacing w:line="279" w:lineRule="auto"/>
              <w:rPr>
                <w:rFonts w:ascii="Arial"/>
                <w:sz w:val="21"/>
              </w:rPr>
            </w:pPr>
          </w:p>
          <w:p w14:paraId="0795728B">
            <w:pPr>
              <w:spacing w:line="280" w:lineRule="auto"/>
              <w:rPr>
                <w:rFonts w:ascii="Arial"/>
                <w:sz w:val="21"/>
              </w:rPr>
            </w:pPr>
          </w:p>
          <w:p w14:paraId="0944E858">
            <w:pPr>
              <w:pStyle w:val="6"/>
              <w:spacing w:before="58" w:line="219" w:lineRule="auto"/>
              <w:ind w:left="129"/>
            </w:pPr>
            <w:r>
              <w:rPr>
                <w:spacing w:val="-3"/>
              </w:rPr>
              <w:t>成本指标</w:t>
            </w:r>
          </w:p>
        </w:tc>
        <w:tc>
          <w:tcPr>
            <w:tcW w:w="1281" w:type="dxa"/>
            <w:vAlign w:val="top"/>
          </w:tcPr>
          <w:p w14:paraId="26BEE079">
            <w:pPr>
              <w:pStyle w:val="6"/>
              <w:spacing w:before="178" w:line="322" w:lineRule="auto"/>
              <w:ind w:left="286" w:right="187" w:hanging="86"/>
            </w:pPr>
            <w:r>
              <w:rPr>
                <w:spacing w:val="-3"/>
              </w:rPr>
              <w:t>公务用车运行维护费</w:t>
            </w:r>
          </w:p>
        </w:tc>
        <w:tc>
          <w:tcPr>
            <w:tcW w:w="600" w:type="dxa"/>
            <w:vAlign w:val="top"/>
          </w:tcPr>
          <w:p w14:paraId="77F7AA8D">
            <w:pPr>
              <w:spacing w:line="272" w:lineRule="auto"/>
              <w:rPr>
                <w:rFonts w:ascii="Arial"/>
                <w:sz w:val="21"/>
              </w:rPr>
            </w:pPr>
          </w:p>
          <w:p w14:paraId="26C7B99F">
            <w:pPr>
              <w:pStyle w:val="6"/>
              <w:spacing w:before="59" w:line="221" w:lineRule="auto"/>
              <w:ind w:left="124"/>
            </w:pPr>
            <w:r>
              <w:rPr>
                <w:spacing w:val="-4"/>
              </w:rPr>
              <w:t>反向</w:t>
            </w:r>
          </w:p>
        </w:tc>
        <w:tc>
          <w:tcPr>
            <w:tcW w:w="675" w:type="dxa"/>
            <w:vAlign w:val="top"/>
          </w:tcPr>
          <w:p w14:paraId="405DCB25">
            <w:pPr>
              <w:pStyle w:val="6"/>
              <w:spacing w:before="177" w:line="221" w:lineRule="auto"/>
              <w:ind w:left="167"/>
            </w:pPr>
            <w:r>
              <w:rPr>
                <w:spacing w:val="-6"/>
              </w:rPr>
              <w:t>小于</w:t>
            </w:r>
          </w:p>
          <w:p w14:paraId="565DBB8D">
            <w:pPr>
              <w:pStyle w:val="6"/>
              <w:spacing w:before="96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2A061039">
            <w:pPr>
              <w:spacing w:line="272" w:lineRule="auto"/>
              <w:rPr>
                <w:rFonts w:ascii="Arial"/>
                <w:sz w:val="21"/>
              </w:rPr>
            </w:pPr>
          </w:p>
          <w:p w14:paraId="1672B088">
            <w:pPr>
              <w:pStyle w:val="6"/>
              <w:spacing w:before="59"/>
              <w:ind w:left="266"/>
            </w:pPr>
            <w:r>
              <w:rPr>
                <w:spacing w:val="-4"/>
              </w:rPr>
              <w:t>25</w:t>
            </w:r>
          </w:p>
        </w:tc>
        <w:tc>
          <w:tcPr>
            <w:tcW w:w="771" w:type="dxa"/>
            <w:vAlign w:val="top"/>
          </w:tcPr>
          <w:p w14:paraId="1C8158B4">
            <w:pPr>
              <w:spacing w:line="273" w:lineRule="auto"/>
              <w:rPr>
                <w:rFonts w:ascii="Arial"/>
                <w:sz w:val="21"/>
              </w:rPr>
            </w:pPr>
          </w:p>
          <w:p w14:paraId="6DFB0DF0">
            <w:pPr>
              <w:pStyle w:val="6"/>
              <w:spacing w:before="58" w:line="239" w:lineRule="auto"/>
              <w:ind w:left="168"/>
            </w:pPr>
            <w:r>
              <w:rPr>
                <w:spacing w:val="-2"/>
              </w:rPr>
              <w:t>25.00</w:t>
            </w:r>
          </w:p>
        </w:tc>
        <w:tc>
          <w:tcPr>
            <w:tcW w:w="658" w:type="dxa"/>
            <w:vAlign w:val="top"/>
          </w:tcPr>
          <w:p w14:paraId="399D97E8">
            <w:pPr>
              <w:spacing w:line="273" w:lineRule="auto"/>
              <w:rPr>
                <w:rFonts w:ascii="Arial"/>
                <w:sz w:val="21"/>
              </w:rPr>
            </w:pPr>
          </w:p>
          <w:p w14:paraId="4AA3CF45">
            <w:pPr>
              <w:pStyle w:val="6"/>
              <w:spacing w:before="58" w:line="220" w:lineRule="auto"/>
              <w:ind w:left="158"/>
            </w:pPr>
            <w:r>
              <w:rPr>
                <w:spacing w:val="-6"/>
              </w:rPr>
              <w:t>万元</w:t>
            </w:r>
          </w:p>
        </w:tc>
        <w:tc>
          <w:tcPr>
            <w:tcW w:w="595" w:type="dxa"/>
            <w:vAlign w:val="top"/>
          </w:tcPr>
          <w:p w14:paraId="4E9694F3">
            <w:pPr>
              <w:spacing w:line="273" w:lineRule="auto"/>
              <w:rPr>
                <w:rFonts w:ascii="Arial"/>
                <w:sz w:val="21"/>
              </w:rPr>
            </w:pPr>
          </w:p>
          <w:p w14:paraId="6CA590B9">
            <w:pPr>
              <w:pStyle w:val="6"/>
              <w:spacing w:before="58" w:line="241" w:lineRule="auto"/>
              <w:ind w:left="259"/>
            </w:pPr>
            <w:r>
              <w:t>2</w:t>
            </w:r>
          </w:p>
        </w:tc>
        <w:tc>
          <w:tcPr>
            <w:tcW w:w="704" w:type="dxa"/>
            <w:vAlign w:val="top"/>
          </w:tcPr>
          <w:p w14:paraId="02B66D5F">
            <w:pPr>
              <w:spacing w:line="273" w:lineRule="auto"/>
              <w:rPr>
                <w:rFonts w:ascii="Arial"/>
                <w:sz w:val="21"/>
              </w:rPr>
            </w:pPr>
          </w:p>
          <w:p w14:paraId="006B3E0D">
            <w:pPr>
              <w:pStyle w:val="6"/>
              <w:spacing w:before="58" w:line="241" w:lineRule="auto"/>
              <w:ind w:left="314"/>
            </w:pPr>
            <w:r>
              <w:t>2</w:t>
            </w:r>
          </w:p>
        </w:tc>
        <w:tc>
          <w:tcPr>
            <w:tcW w:w="1361" w:type="dxa"/>
            <w:vAlign w:val="top"/>
          </w:tcPr>
          <w:p w14:paraId="4E34D799">
            <w:pPr>
              <w:rPr>
                <w:rFonts w:ascii="Arial"/>
                <w:sz w:val="21"/>
              </w:rPr>
            </w:pPr>
          </w:p>
        </w:tc>
      </w:tr>
      <w:tr w14:paraId="526B9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EBD78C1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77DFCB1F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 w14:paraId="0BA5ABA1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113189EB">
            <w:pPr>
              <w:pStyle w:val="6"/>
              <w:spacing w:before="177" w:line="322" w:lineRule="auto"/>
              <w:ind w:left="556" w:right="187" w:hanging="362"/>
            </w:pPr>
            <w:r>
              <w:rPr>
                <w:spacing w:val="-2"/>
              </w:rPr>
              <w:t>委托物业服</w:t>
            </w:r>
            <w:r>
              <w:t>务</w:t>
            </w:r>
          </w:p>
        </w:tc>
        <w:tc>
          <w:tcPr>
            <w:tcW w:w="600" w:type="dxa"/>
            <w:vAlign w:val="top"/>
          </w:tcPr>
          <w:p w14:paraId="738A10FC">
            <w:pPr>
              <w:spacing w:line="272" w:lineRule="auto"/>
              <w:rPr>
                <w:rFonts w:ascii="Arial"/>
                <w:sz w:val="21"/>
              </w:rPr>
            </w:pPr>
          </w:p>
          <w:p w14:paraId="05A3E83C">
            <w:pPr>
              <w:pStyle w:val="6"/>
              <w:spacing w:before="59" w:line="221" w:lineRule="auto"/>
              <w:ind w:left="124"/>
            </w:pPr>
            <w:r>
              <w:rPr>
                <w:spacing w:val="-4"/>
              </w:rPr>
              <w:t>反向</w:t>
            </w:r>
          </w:p>
        </w:tc>
        <w:tc>
          <w:tcPr>
            <w:tcW w:w="675" w:type="dxa"/>
            <w:vAlign w:val="top"/>
          </w:tcPr>
          <w:p w14:paraId="6F6963DB">
            <w:pPr>
              <w:pStyle w:val="6"/>
              <w:spacing w:before="177" w:line="221" w:lineRule="auto"/>
              <w:ind w:left="167"/>
            </w:pPr>
            <w:r>
              <w:rPr>
                <w:spacing w:val="-6"/>
              </w:rPr>
              <w:t>小于</w:t>
            </w:r>
          </w:p>
          <w:p w14:paraId="634ACF99">
            <w:pPr>
              <w:pStyle w:val="6"/>
              <w:spacing w:before="96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0B8FF301">
            <w:pPr>
              <w:spacing w:line="272" w:lineRule="auto"/>
              <w:rPr>
                <w:rFonts w:ascii="Arial"/>
                <w:sz w:val="21"/>
              </w:rPr>
            </w:pPr>
          </w:p>
          <w:p w14:paraId="3C02D57A">
            <w:pPr>
              <w:pStyle w:val="6"/>
              <w:spacing w:before="58"/>
              <w:ind w:left="265"/>
            </w:pPr>
            <w:r>
              <w:rPr>
                <w:spacing w:val="-4"/>
              </w:rPr>
              <w:t>90</w:t>
            </w:r>
          </w:p>
        </w:tc>
        <w:tc>
          <w:tcPr>
            <w:tcW w:w="771" w:type="dxa"/>
            <w:vAlign w:val="top"/>
          </w:tcPr>
          <w:p w14:paraId="4480F23A">
            <w:pPr>
              <w:spacing w:line="272" w:lineRule="auto"/>
              <w:rPr>
                <w:rFonts w:ascii="Arial"/>
                <w:sz w:val="21"/>
              </w:rPr>
            </w:pPr>
          </w:p>
          <w:p w14:paraId="0035CB54">
            <w:pPr>
              <w:pStyle w:val="6"/>
              <w:spacing w:before="59" w:line="239" w:lineRule="auto"/>
              <w:ind w:left="167"/>
            </w:pPr>
            <w:r>
              <w:rPr>
                <w:spacing w:val="-2"/>
              </w:rPr>
              <w:t>90.00</w:t>
            </w:r>
          </w:p>
        </w:tc>
        <w:tc>
          <w:tcPr>
            <w:tcW w:w="658" w:type="dxa"/>
            <w:vAlign w:val="top"/>
          </w:tcPr>
          <w:p w14:paraId="520FE32B">
            <w:pPr>
              <w:spacing w:line="272" w:lineRule="auto"/>
              <w:rPr>
                <w:rFonts w:ascii="Arial"/>
                <w:sz w:val="21"/>
              </w:rPr>
            </w:pPr>
          </w:p>
          <w:p w14:paraId="34986B4C">
            <w:pPr>
              <w:pStyle w:val="6"/>
              <w:spacing w:before="59" w:line="220" w:lineRule="auto"/>
              <w:ind w:left="158"/>
            </w:pPr>
            <w:r>
              <w:rPr>
                <w:spacing w:val="-6"/>
              </w:rPr>
              <w:t>万元</w:t>
            </w:r>
          </w:p>
        </w:tc>
        <w:tc>
          <w:tcPr>
            <w:tcW w:w="595" w:type="dxa"/>
            <w:vAlign w:val="top"/>
          </w:tcPr>
          <w:p w14:paraId="14E9A94D">
            <w:pPr>
              <w:spacing w:line="272" w:lineRule="auto"/>
              <w:rPr>
                <w:rFonts w:ascii="Arial"/>
                <w:sz w:val="21"/>
              </w:rPr>
            </w:pPr>
          </w:p>
          <w:p w14:paraId="74E7BB6F">
            <w:pPr>
              <w:pStyle w:val="6"/>
              <w:spacing w:before="59" w:line="241" w:lineRule="auto"/>
              <w:ind w:left="256"/>
            </w:pPr>
            <w:r>
              <w:t>4</w:t>
            </w:r>
          </w:p>
        </w:tc>
        <w:tc>
          <w:tcPr>
            <w:tcW w:w="704" w:type="dxa"/>
            <w:vAlign w:val="top"/>
          </w:tcPr>
          <w:p w14:paraId="7543189B">
            <w:pPr>
              <w:spacing w:line="272" w:lineRule="auto"/>
              <w:rPr>
                <w:rFonts w:ascii="Arial"/>
                <w:sz w:val="21"/>
              </w:rPr>
            </w:pPr>
          </w:p>
          <w:p w14:paraId="4E3725BB">
            <w:pPr>
              <w:pStyle w:val="6"/>
              <w:spacing w:before="59" w:line="241" w:lineRule="auto"/>
              <w:ind w:left="311"/>
            </w:pPr>
            <w:r>
              <w:t>4</w:t>
            </w:r>
          </w:p>
        </w:tc>
        <w:tc>
          <w:tcPr>
            <w:tcW w:w="1361" w:type="dxa"/>
            <w:vAlign w:val="top"/>
          </w:tcPr>
          <w:p w14:paraId="0EC6F4D5">
            <w:pPr>
              <w:rPr>
                <w:rFonts w:ascii="Arial"/>
                <w:sz w:val="21"/>
              </w:rPr>
            </w:pPr>
          </w:p>
        </w:tc>
      </w:tr>
      <w:tr w14:paraId="1206C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6A885E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58759836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732A86EC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6EA2DB18">
            <w:pPr>
              <w:spacing w:line="272" w:lineRule="auto"/>
              <w:rPr>
                <w:rFonts w:ascii="Arial"/>
                <w:sz w:val="21"/>
              </w:rPr>
            </w:pPr>
          </w:p>
          <w:p w14:paraId="1BA9F8EE">
            <w:pPr>
              <w:pStyle w:val="6"/>
              <w:spacing w:before="58" w:line="219" w:lineRule="auto"/>
              <w:ind w:left="198"/>
            </w:pPr>
            <w:r>
              <w:rPr>
                <w:spacing w:val="-2"/>
              </w:rPr>
              <w:t>项目总成本</w:t>
            </w:r>
          </w:p>
        </w:tc>
        <w:tc>
          <w:tcPr>
            <w:tcW w:w="600" w:type="dxa"/>
            <w:vAlign w:val="top"/>
          </w:tcPr>
          <w:p w14:paraId="33E2161A">
            <w:pPr>
              <w:spacing w:line="272" w:lineRule="auto"/>
              <w:rPr>
                <w:rFonts w:ascii="Arial"/>
                <w:sz w:val="21"/>
              </w:rPr>
            </w:pPr>
          </w:p>
          <w:p w14:paraId="0D585841">
            <w:pPr>
              <w:pStyle w:val="6"/>
              <w:spacing w:before="58" w:line="221" w:lineRule="auto"/>
              <w:ind w:left="124"/>
            </w:pPr>
            <w:r>
              <w:rPr>
                <w:spacing w:val="-4"/>
              </w:rPr>
              <w:t>反向</w:t>
            </w:r>
          </w:p>
        </w:tc>
        <w:tc>
          <w:tcPr>
            <w:tcW w:w="675" w:type="dxa"/>
            <w:vAlign w:val="top"/>
          </w:tcPr>
          <w:p w14:paraId="6F35CA88">
            <w:pPr>
              <w:pStyle w:val="6"/>
              <w:spacing w:before="177" w:line="221" w:lineRule="auto"/>
              <w:ind w:left="167"/>
            </w:pPr>
            <w:r>
              <w:rPr>
                <w:spacing w:val="-6"/>
              </w:rPr>
              <w:t>小于</w:t>
            </w:r>
          </w:p>
          <w:p w14:paraId="43E10E9F">
            <w:pPr>
              <w:pStyle w:val="6"/>
              <w:spacing w:before="96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76200610">
            <w:pPr>
              <w:spacing w:line="271" w:lineRule="auto"/>
              <w:rPr>
                <w:rFonts w:ascii="Arial"/>
                <w:sz w:val="21"/>
              </w:rPr>
            </w:pPr>
          </w:p>
          <w:p w14:paraId="7953C23B">
            <w:pPr>
              <w:pStyle w:val="6"/>
              <w:spacing w:before="59"/>
              <w:ind w:left="222"/>
            </w:pPr>
            <w:r>
              <w:rPr>
                <w:spacing w:val="-4"/>
              </w:rPr>
              <w:t>304</w:t>
            </w:r>
          </w:p>
        </w:tc>
        <w:tc>
          <w:tcPr>
            <w:tcW w:w="771" w:type="dxa"/>
            <w:vAlign w:val="top"/>
          </w:tcPr>
          <w:p w14:paraId="0D7FDB20">
            <w:pPr>
              <w:spacing w:line="272" w:lineRule="auto"/>
              <w:rPr>
                <w:rFonts w:ascii="Arial"/>
                <w:sz w:val="21"/>
              </w:rPr>
            </w:pPr>
          </w:p>
          <w:p w14:paraId="451D9FC1">
            <w:pPr>
              <w:pStyle w:val="6"/>
              <w:spacing w:before="58" w:line="239" w:lineRule="auto"/>
              <w:ind w:left="124"/>
            </w:pPr>
            <w:r>
              <w:rPr>
                <w:spacing w:val="-2"/>
              </w:rPr>
              <w:t>389.96</w:t>
            </w:r>
          </w:p>
        </w:tc>
        <w:tc>
          <w:tcPr>
            <w:tcW w:w="658" w:type="dxa"/>
            <w:vAlign w:val="top"/>
          </w:tcPr>
          <w:p w14:paraId="162EFE28">
            <w:pPr>
              <w:spacing w:line="272" w:lineRule="auto"/>
              <w:rPr>
                <w:rFonts w:ascii="Arial"/>
                <w:sz w:val="21"/>
              </w:rPr>
            </w:pPr>
          </w:p>
          <w:p w14:paraId="0FC30CB9">
            <w:pPr>
              <w:pStyle w:val="6"/>
              <w:spacing w:before="58" w:line="220" w:lineRule="auto"/>
              <w:ind w:left="158"/>
            </w:pPr>
            <w:r>
              <w:rPr>
                <w:spacing w:val="-6"/>
              </w:rPr>
              <w:t>万元</w:t>
            </w:r>
          </w:p>
        </w:tc>
        <w:tc>
          <w:tcPr>
            <w:tcW w:w="595" w:type="dxa"/>
            <w:vAlign w:val="top"/>
          </w:tcPr>
          <w:p w14:paraId="1442AA32">
            <w:pPr>
              <w:spacing w:line="272" w:lineRule="auto"/>
              <w:rPr>
                <w:rFonts w:ascii="Arial"/>
                <w:sz w:val="21"/>
              </w:rPr>
            </w:pPr>
          </w:p>
          <w:p w14:paraId="4FDE616E">
            <w:pPr>
              <w:pStyle w:val="6"/>
              <w:spacing w:before="58" w:line="241" w:lineRule="auto"/>
              <w:ind w:left="256"/>
            </w:pPr>
            <w:r>
              <w:t>4</w:t>
            </w:r>
          </w:p>
        </w:tc>
        <w:tc>
          <w:tcPr>
            <w:tcW w:w="704" w:type="dxa"/>
            <w:vAlign w:val="top"/>
          </w:tcPr>
          <w:p w14:paraId="275EE1D9">
            <w:pPr>
              <w:spacing w:line="271" w:lineRule="auto"/>
              <w:rPr>
                <w:rFonts w:ascii="Arial"/>
                <w:sz w:val="21"/>
              </w:rPr>
            </w:pPr>
          </w:p>
          <w:p w14:paraId="49104CDE">
            <w:pPr>
              <w:pStyle w:val="6"/>
              <w:spacing w:before="59"/>
              <w:ind w:left="313"/>
            </w:pPr>
            <w:r>
              <w:t>0</w:t>
            </w:r>
          </w:p>
        </w:tc>
        <w:tc>
          <w:tcPr>
            <w:tcW w:w="1361" w:type="dxa"/>
            <w:vAlign w:val="top"/>
          </w:tcPr>
          <w:p w14:paraId="52304258">
            <w:pPr>
              <w:rPr>
                <w:rFonts w:ascii="Arial"/>
                <w:sz w:val="21"/>
              </w:rPr>
            </w:pPr>
          </w:p>
        </w:tc>
      </w:tr>
      <w:tr w14:paraId="3AC1B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F7B3CA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bottom w:val="nil"/>
            </w:tcBorders>
            <w:vAlign w:val="top"/>
          </w:tcPr>
          <w:p w14:paraId="1E13A3EB">
            <w:pPr>
              <w:pStyle w:val="6"/>
              <w:spacing w:before="177" w:line="322" w:lineRule="auto"/>
              <w:ind w:left="140" w:right="133" w:firstLine="2"/>
            </w:pPr>
            <w:r>
              <w:rPr>
                <w:spacing w:val="-6"/>
              </w:rPr>
              <w:t>效益</w:t>
            </w:r>
            <w:r>
              <w:rPr>
                <w:spacing w:val="-5"/>
              </w:rPr>
              <w:t>指标</w:t>
            </w:r>
          </w:p>
        </w:tc>
        <w:tc>
          <w:tcPr>
            <w:tcW w:w="967" w:type="dxa"/>
            <w:tcBorders>
              <w:bottom w:val="nil"/>
            </w:tcBorders>
            <w:vAlign w:val="top"/>
          </w:tcPr>
          <w:p w14:paraId="20B3D230">
            <w:pPr>
              <w:pStyle w:val="6"/>
              <w:spacing w:before="177" w:line="322" w:lineRule="auto"/>
              <w:ind w:left="309" w:right="121" w:hanging="180"/>
            </w:pPr>
            <w:r>
              <w:rPr>
                <w:spacing w:val="-3"/>
              </w:rPr>
              <w:t>社会效益</w:t>
            </w:r>
            <w:r>
              <w:rPr>
                <w:spacing w:val="-5"/>
              </w:rPr>
              <w:t>指标</w:t>
            </w:r>
          </w:p>
        </w:tc>
        <w:tc>
          <w:tcPr>
            <w:tcW w:w="1281" w:type="dxa"/>
            <w:tcBorders>
              <w:bottom w:val="nil"/>
            </w:tcBorders>
            <w:vAlign w:val="top"/>
          </w:tcPr>
          <w:p w14:paraId="5E68EFF2">
            <w:pPr>
              <w:pStyle w:val="6"/>
              <w:spacing w:before="176" w:line="322" w:lineRule="auto"/>
              <w:ind w:left="197" w:right="187" w:hanging="2"/>
            </w:pPr>
            <w:r>
              <w:rPr>
                <w:spacing w:val="-2"/>
              </w:rPr>
              <w:t>全面提升干警综合素能</w:t>
            </w:r>
          </w:p>
        </w:tc>
        <w:tc>
          <w:tcPr>
            <w:tcW w:w="600" w:type="dxa"/>
            <w:tcBorders>
              <w:bottom w:val="nil"/>
            </w:tcBorders>
            <w:vAlign w:val="top"/>
          </w:tcPr>
          <w:p w14:paraId="71E7CE35">
            <w:pPr>
              <w:spacing w:line="272" w:lineRule="auto"/>
              <w:rPr>
                <w:rFonts w:ascii="Arial"/>
                <w:sz w:val="21"/>
              </w:rPr>
            </w:pPr>
          </w:p>
          <w:p w14:paraId="78AA4121">
            <w:pPr>
              <w:pStyle w:val="6"/>
              <w:spacing w:before="58" w:line="220" w:lineRule="auto"/>
              <w:ind w:left="128"/>
            </w:pPr>
            <w:r>
              <w:rPr>
                <w:spacing w:val="-6"/>
              </w:rPr>
              <w:t>定性</w:t>
            </w:r>
          </w:p>
        </w:tc>
        <w:tc>
          <w:tcPr>
            <w:tcW w:w="675" w:type="dxa"/>
            <w:tcBorders>
              <w:bottom w:val="nil"/>
            </w:tcBorders>
            <w:vAlign w:val="top"/>
          </w:tcPr>
          <w:p w14:paraId="5BBDB174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bottom w:val="nil"/>
            </w:tcBorders>
            <w:vAlign w:val="top"/>
          </w:tcPr>
          <w:p w14:paraId="3C8DF9E4">
            <w:pPr>
              <w:spacing w:line="272" w:lineRule="auto"/>
              <w:rPr>
                <w:rFonts w:ascii="Arial"/>
                <w:sz w:val="21"/>
              </w:rPr>
            </w:pPr>
          </w:p>
          <w:p w14:paraId="0A869F27">
            <w:pPr>
              <w:pStyle w:val="6"/>
              <w:spacing w:before="58" w:line="220" w:lineRule="auto"/>
              <w:ind w:left="174"/>
            </w:pPr>
            <w:r>
              <w:rPr>
                <w:spacing w:val="-4"/>
              </w:rPr>
              <w:t>提升</w:t>
            </w:r>
          </w:p>
        </w:tc>
        <w:tc>
          <w:tcPr>
            <w:tcW w:w="771" w:type="dxa"/>
            <w:tcBorders>
              <w:bottom w:val="nil"/>
            </w:tcBorders>
            <w:vAlign w:val="top"/>
          </w:tcPr>
          <w:p w14:paraId="23EC8C98">
            <w:pPr>
              <w:spacing w:line="272" w:lineRule="auto"/>
              <w:rPr>
                <w:rFonts w:ascii="Arial"/>
                <w:sz w:val="21"/>
              </w:rPr>
            </w:pPr>
          </w:p>
          <w:p w14:paraId="277DBE40">
            <w:pPr>
              <w:pStyle w:val="6"/>
              <w:spacing w:before="58" w:line="220" w:lineRule="auto"/>
              <w:ind w:left="210"/>
            </w:pPr>
            <w:r>
              <w:rPr>
                <w:spacing w:val="-4"/>
              </w:rPr>
              <w:t>提升</w:t>
            </w:r>
          </w:p>
        </w:tc>
        <w:tc>
          <w:tcPr>
            <w:tcW w:w="658" w:type="dxa"/>
            <w:tcBorders>
              <w:bottom w:val="nil"/>
            </w:tcBorders>
            <w:vAlign w:val="top"/>
          </w:tcPr>
          <w:p w14:paraId="5418F720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tcBorders>
              <w:bottom w:val="nil"/>
            </w:tcBorders>
            <w:vAlign w:val="top"/>
          </w:tcPr>
          <w:p w14:paraId="6215C567">
            <w:pPr>
              <w:spacing w:line="271" w:lineRule="auto"/>
              <w:rPr>
                <w:rFonts w:ascii="Arial"/>
                <w:sz w:val="21"/>
              </w:rPr>
            </w:pPr>
          </w:p>
          <w:p w14:paraId="00D4D49B">
            <w:pPr>
              <w:pStyle w:val="6"/>
              <w:spacing w:before="59"/>
              <w:ind w:left="227"/>
            </w:pPr>
            <w:r>
              <w:rPr>
                <w:spacing w:val="-10"/>
              </w:rPr>
              <w:t>10</w:t>
            </w:r>
          </w:p>
        </w:tc>
        <w:tc>
          <w:tcPr>
            <w:tcW w:w="704" w:type="dxa"/>
            <w:tcBorders>
              <w:bottom w:val="nil"/>
            </w:tcBorders>
            <w:vAlign w:val="top"/>
          </w:tcPr>
          <w:p w14:paraId="78DD75A4">
            <w:pPr>
              <w:spacing w:line="271" w:lineRule="auto"/>
              <w:rPr>
                <w:rFonts w:ascii="Arial"/>
                <w:sz w:val="21"/>
              </w:rPr>
            </w:pPr>
          </w:p>
          <w:p w14:paraId="7166EB61">
            <w:pPr>
              <w:pStyle w:val="6"/>
              <w:spacing w:before="59"/>
              <w:ind w:left="280"/>
            </w:pPr>
            <w:r>
              <w:rPr>
                <w:spacing w:val="-10"/>
              </w:rPr>
              <w:t>10</w:t>
            </w:r>
          </w:p>
        </w:tc>
        <w:tc>
          <w:tcPr>
            <w:tcW w:w="1361" w:type="dxa"/>
            <w:tcBorders>
              <w:bottom w:val="nil"/>
            </w:tcBorders>
            <w:vAlign w:val="top"/>
          </w:tcPr>
          <w:p w14:paraId="559826E1">
            <w:pPr>
              <w:rPr>
                <w:rFonts w:ascii="Arial"/>
                <w:sz w:val="21"/>
              </w:rPr>
            </w:pPr>
          </w:p>
        </w:tc>
      </w:tr>
    </w:tbl>
    <w:p w14:paraId="26F7C071">
      <w:pPr>
        <w:pStyle w:val="2"/>
      </w:pPr>
    </w:p>
    <w:p w14:paraId="5F4104FA">
      <w:pPr>
        <w:sectPr>
          <w:footerReference r:id="rId26" w:type="default"/>
          <w:pgSz w:w="11906" w:h="16839"/>
          <w:pgMar w:top="1431" w:right="968" w:bottom="1091" w:left="1028" w:header="0" w:footer="929" w:gutter="0"/>
          <w:cols w:space="720" w:num="1"/>
        </w:sectPr>
      </w:pPr>
    </w:p>
    <w:p w14:paraId="2F1DA39E">
      <w:pPr>
        <w:spacing w:before="92"/>
      </w:pPr>
    </w:p>
    <w:p w14:paraId="06DA277B">
      <w:pPr>
        <w:spacing w:before="91"/>
      </w:pPr>
    </w:p>
    <w:tbl>
      <w:tblPr>
        <w:tblStyle w:val="5"/>
        <w:tblW w:w="9904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630"/>
        <w:gridCol w:w="967"/>
        <w:gridCol w:w="1281"/>
        <w:gridCol w:w="600"/>
        <w:gridCol w:w="675"/>
        <w:gridCol w:w="698"/>
        <w:gridCol w:w="771"/>
        <w:gridCol w:w="658"/>
        <w:gridCol w:w="595"/>
        <w:gridCol w:w="704"/>
        <w:gridCol w:w="1361"/>
      </w:tblGrid>
      <w:tr w14:paraId="744F5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3EC07A70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32ECA9F4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4E4F7426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2B433E6C">
            <w:pPr>
              <w:pStyle w:val="6"/>
              <w:spacing w:before="179" w:line="322" w:lineRule="auto"/>
              <w:ind w:left="555" w:right="187" w:hanging="360"/>
            </w:pPr>
            <w:r>
              <w:rPr>
                <w:spacing w:val="-2"/>
              </w:rPr>
              <w:t>提高办案效</w:t>
            </w:r>
            <w:r>
              <w:t>率</w:t>
            </w:r>
          </w:p>
        </w:tc>
        <w:tc>
          <w:tcPr>
            <w:tcW w:w="600" w:type="dxa"/>
            <w:vAlign w:val="top"/>
          </w:tcPr>
          <w:p w14:paraId="348B4379">
            <w:pPr>
              <w:spacing w:line="275" w:lineRule="auto"/>
              <w:rPr>
                <w:rFonts w:ascii="Arial"/>
                <w:sz w:val="21"/>
              </w:rPr>
            </w:pPr>
          </w:p>
          <w:p w14:paraId="1190F717">
            <w:pPr>
              <w:pStyle w:val="6"/>
              <w:spacing w:before="58" w:line="220" w:lineRule="auto"/>
              <w:ind w:left="128"/>
            </w:pPr>
            <w:r>
              <w:rPr>
                <w:spacing w:val="-6"/>
              </w:rPr>
              <w:t>定性</w:t>
            </w:r>
          </w:p>
        </w:tc>
        <w:tc>
          <w:tcPr>
            <w:tcW w:w="675" w:type="dxa"/>
            <w:vAlign w:val="top"/>
          </w:tcPr>
          <w:p w14:paraId="1D76B857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2DFF6093">
            <w:pPr>
              <w:spacing w:line="275" w:lineRule="auto"/>
              <w:rPr>
                <w:rFonts w:ascii="Arial"/>
                <w:sz w:val="21"/>
              </w:rPr>
            </w:pPr>
          </w:p>
          <w:p w14:paraId="177599B6">
            <w:pPr>
              <w:pStyle w:val="6"/>
              <w:spacing w:before="59" w:line="219" w:lineRule="auto"/>
              <w:ind w:left="174"/>
            </w:pPr>
            <w:r>
              <w:rPr>
                <w:spacing w:val="-4"/>
              </w:rPr>
              <w:t>提高</w:t>
            </w:r>
          </w:p>
        </w:tc>
        <w:tc>
          <w:tcPr>
            <w:tcW w:w="771" w:type="dxa"/>
            <w:vAlign w:val="top"/>
          </w:tcPr>
          <w:p w14:paraId="3422F6D8">
            <w:pPr>
              <w:spacing w:line="275" w:lineRule="auto"/>
              <w:rPr>
                <w:rFonts w:ascii="Arial"/>
                <w:sz w:val="21"/>
              </w:rPr>
            </w:pPr>
          </w:p>
          <w:p w14:paraId="4DAA8540">
            <w:pPr>
              <w:pStyle w:val="6"/>
              <w:spacing w:before="59" w:line="219" w:lineRule="auto"/>
              <w:ind w:left="210"/>
            </w:pPr>
            <w:r>
              <w:rPr>
                <w:spacing w:val="-4"/>
              </w:rPr>
              <w:t>提高</w:t>
            </w:r>
          </w:p>
        </w:tc>
        <w:tc>
          <w:tcPr>
            <w:tcW w:w="658" w:type="dxa"/>
            <w:vAlign w:val="top"/>
          </w:tcPr>
          <w:p w14:paraId="4963963A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 w14:paraId="31DA4FA2">
            <w:pPr>
              <w:spacing w:line="274" w:lineRule="auto"/>
              <w:rPr>
                <w:rFonts w:ascii="Arial"/>
                <w:sz w:val="21"/>
              </w:rPr>
            </w:pPr>
          </w:p>
          <w:p w14:paraId="1DFD2542">
            <w:pPr>
              <w:pStyle w:val="6"/>
              <w:spacing w:before="59"/>
              <w:ind w:left="227"/>
            </w:pPr>
            <w:r>
              <w:rPr>
                <w:spacing w:val="-10"/>
              </w:rPr>
              <w:t>10</w:t>
            </w:r>
          </w:p>
        </w:tc>
        <w:tc>
          <w:tcPr>
            <w:tcW w:w="704" w:type="dxa"/>
            <w:vAlign w:val="top"/>
          </w:tcPr>
          <w:p w14:paraId="0064CF8D">
            <w:pPr>
              <w:spacing w:line="274" w:lineRule="auto"/>
              <w:rPr>
                <w:rFonts w:ascii="Arial"/>
                <w:sz w:val="21"/>
              </w:rPr>
            </w:pPr>
          </w:p>
          <w:p w14:paraId="49333FFE">
            <w:pPr>
              <w:pStyle w:val="6"/>
              <w:spacing w:before="59"/>
              <w:ind w:left="280"/>
            </w:pPr>
            <w:r>
              <w:rPr>
                <w:spacing w:val="-10"/>
              </w:rPr>
              <w:t>10</w:t>
            </w:r>
          </w:p>
        </w:tc>
        <w:tc>
          <w:tcPr>
            <w:tcW w:w="1361" w:type="dxa"/>
            <w:vAlign w:val="top"/>
          </w:tcPr>
          <w:p w14:paraId="7327242B">
            <w:pPr>
              <w:rPr>
                <w:rFonts w:ascii="Arial"/>
                <w:sz w:val="21"/>
              </w:rPr>
            </w:pPr>
          </w:p>
        </w:tc>
      </w:tr>
      <w:tr w14:paraId="45A60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0F5D03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00DE738F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44DEEF29">
            <w:pPr>
              <w:spacing w:line="271" w:lineRule="auto"/>
              <w:rPr>
                <w:rFonts w:ascii="Arial"/>
                <w:sz w:val="21"/>
              </w:rPr>
            </w:pPr>
          </w:p>
          <w:p w14:paraId="0B499A11">
            <w:pPr>
              <w:spacing w:line="271" w:lineRule="auto"/>
              <w:rPr>
                <w:rFonts w:ascii="Arial"/>
                <w:sz w:val="21"/>
              </w:rPr>
            </w:pPr>
          </w:p>
          <w:p w14:paraId="5A93A585">
            <w:pPr>
              <w:pStyle w:val="6"/>
              <w:spacing w:before="58" w:line="322" w:lineRule="auto"/>
              <w:ind w:left="225" w:right="121" w:hanging="96"/>
            </w:pPr>
            <w:r>
              <w:rPr>
                <w:spacing w:val="-3"/>
              </w:rPr>
              <w:t>可持续影</w:t>
            </w:r>
            <w:r>
              <w:rPr>
                <w:spacing w:val="-6"/>
              </w:rPr>
              <w:t>响指标</w:t>
            </w:r>
          </w:p>
        </w:tc>
        <w:tc>
          <w:tcPr>
            <w:tcW w:w="1281" w:type="dxa"/>
            <w:vAlign w:val="top"/>
          </w:tcPr>
          <w:p w14:paraId="2EB65D0B">
            <w:pPr>
              <w:pStyle w:val="6"/>
              <w:spacing w:before="179" w:line="322" w:lineRule="auto"/>
              <w:ind w:left="197" w:right="187" w:hanging="2"/>
            </w:pPr>
            <w:r>
              <w:rPr>
                <w:spacing w:val="-2"/>
              </w:rPr>
              <w:t>加强社会主义法制建设</w:t>
            </w:r>
          </w:p>
        </w:tc>
        <w:tc>
          <w:tcPr>
            <w:tcW w:w="600" w:type="dxa"/>
            <w:vAlign w:val="top"/>
          </w:tcPr>
          <w:p w14:paraId="28677D24">
            <w:pPr>
              <w:spacing w:line="274" w:lineRule="auto"/>
              <w:rPr>
                <w:rFonts w:ascii="Arial"/>
                <w:sz w:val="21"/>
              </w:rPr>
            </w:pPr>
          </w:p>
          <w:p w14:paraId="6EF7B8DF">
            <w:pPr>
              <w:pStyle w:val="6"/>
              <w:spacing w:before="58" w:line="220" w:lineRule="auto"/>
              <w:ind w:left="128"/>
            </w:pPr>
            <w:r>
              <w:rPr>
                <w:spacing w:val="-6"/>
              </w:rPr>
              <w:t>定性</w:t>
            </w:r>
          </w:p>
        </w:tc>
        <w:tc>
          <w:tcPr>
            <w:tcW w:w="675" w:type="dxa"/>
            <w:vAlign w:val="top"/>
          </w:tcPr>
          <w:p w14:paraId="7C10E05A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4B859B3A">
            <w:pPr>
              <w:spacing w:line="274" w:lineRule="auto"/>
              <w:rPr>
                <w:rFonts w:ascii="Arial"/>
                <w:sz w:val="21"/>
              </w:rPr>
            </w:pPr>
          </w:p>
          <w:p w14:paraId="4B306834">
            <w:pPr>
              <w:pStyle w:val="6"/>
              <w:spacing w:before="58" w:line="222" w:lineRule="auto"/>
              <w:ind w:left="173"/>
            </w:pPr>
            <w:r>
              <w:rPr>
                <w:spacing w:val="-4"/>
              </w:rPr>
              <w:t>加强</w:t>
            </w:r>
          </w:p>
        </w:tc>
        <w:tc>
          <w:tcPr>
            <w:tcW w:w="771" w:type="dxa"/>
            <w:vAlign w:val="top"/>
          </w:tcPr>
          <w:p w14:paraId="2F51DA27">
            <w:pPr>
              <w:spacing w:line="274" w:lineRule="auto"/>
              <w:rPr>
                <w:rFonts w:ascii="Arial"/>
                <w:sz w:val="21"/>
              </w:rPr>
            </w:pPr>
          </w:p>
          <w:p w14:paraId="0C93E164">
            <w:pPr>
              <w:pStyle w:val="6"/>
              <w:spacing w:before="58" w:line="222" w:lineRule="auto"/>
              <w:ind w:left="210"/>
            </w:pPr>
            <w:r>
              <w:rPr>
                <w:spacing w:val="-4"/>
              </w:rPr>
              <w:t>加强</w:t>
            </w:r>
          </w:p>
        </w:tc>
        <w:tc>
          <w:tcPr>
            <w:tcW w:w="658" w:type="dxa"/>
            <w:vAlign w:val="top"/>
          </w:tcPr>
          <w:p w14:paraId="1A42FBF1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 w14:paraId="49DEEB65">
            <w:pPr>
              <w:spacing w:line="273" w:lineRule="auto"/>
              <w:rPr>
                <w:rFonts w:ascii="Arial"/>
                <w:sz w:val="21"/>
              </w:rPr>
            </w:pPr>
          </w:p>
          <w:p w14:paraId="690C7011">
            <w:pPr>
              <w:pStyle w:val="6"/>
              <w:spacing w:before="59"/>
              <w:ind w:left="260"/>
            </w:pPr>
            <w:r>
              <w:t>5</w:t>
            </w:r>
          </w:p>
        </w:tc>
        <w:tc>
          <w:tcPr>
            <w:tcW w:w="704" w:type="dxa"/>
            <w:vAlign w:val="top"/>
          </w:tcPr>
          <w:p w14:paraId="71B07B2C">
            <w:pPr>
              <w:spacing w:line="273" w:lineRule="auto"/>
              <w:rPr>
                <w:rFonts w:ascii="Arial"/>
                <w:sz w:val="21"/>
              </w:rPr>
            </w:pPr>
          </w:p>
          <w:p w14:paraId="3BA475EF">
            <w:pPr>
              <w:pStyle w:val="6"/>
              <w:spacing w:before="59"/>
              <w:ind w:left="316"/>
            </w:pPr>
            <w:r>
              <w:t>5</w:t>
            </w:r>
          </w:p>
        </w:tc>
        <w:tc>
          <w:tcPr>
            <w:tcW w:w="1361" w:type="dxa"/>
            <w:vAlign w:val="top"/>
          </w:tcPr>
          <w:p w14:paraId="49ABBCD3">
            <w:pPr>
              <w:rPr>
                <w:rFonts w:ascii="Arial"/>
                <w:sz w:val="21"/>
              </w:rPr>
            </w:pPr>
          </w:p>
        </w:tc>
      </w:tr>
      <w:tr w14:paraId="72D6D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5DEA37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6DDC0FD2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14BC30CC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2BA6B0F9">
            <w:pPr>
              <w:pStyle w:val="6"/>
              <w:spacing w:before="178" w:line="322" w:lineRule="auto"/>
              <w:ind w:left="384" w:right="187" w:hanging="189"/>
            </w:pPr>
            <w:r>
              <w:rPr>
                <w:spacing w:val="-2"/>
              </w:rPr>
              <w:t>健全办案保</w:t>
            </w:r>
            <w:r>
              <w:rPr>
                <w:spacing w:val="-6"/>
              </w:rPr>
              <w:t>障机制</w:t>
            </w:r>
          </w:p>
        </w:tc>
        <w:tc>
          <w:tcPr>
            <w:tcW w:w="600" w:type="dxa"/>
            <w:vAlign w:val="top"/>
          </w:tcPr>
          <w:p w14:paraId="588CA48D">
            <w:pPr>
              <w:spacing w:line="274" w:lineRule="auto"/>
              <w:rPr>
                <w:rFonts w:ascii="Arial"/>
                <w:sz w:val="21"/>
              </w:rPr>
            </w:pPr>
          </w:p>
          <w:p w14:paraId="12E9AEDE">
            <w:pPr>
              <w:pStyle w:val="6"/>
              <w:spacing w:before="59" w:line="220" w:lineRule="auto"/>
              <w:ind w:left="128"/>
            </w:pPr>
            <w:r>
              <w:rPr>
                <w:spacing w:val="-6"/>
              </w:rPr>
              <w:t>定性</w:t>
            </w:r>
          </w:p>
        </w:tc>
        <w:tc>
          <w:tcPr>
            <w:tcW w:w="675" w:type="dxa"/>
            <w:vAlign w:val="top"/>
          </w:tcPr>
          <w:p w14:paraId="15F0B14C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45913E34">
            <w:pPr>
              <w:spacing w:line="274" w:lineRule="auto"/>
              <w:rPr>
                <w:rFonts w:ascii="Arial"/>
                <w:sz w:val="21"/>
              </w:rPr>
            </w:pPr>
          </w:p>
          <w:p w14:paraId="17E58167">
            <w:pPr>
              <w:pStyle w:val="6"/>
              <w:spacing w:before="59" w:line="221" w:lineRule="auto"/>
              <w:ind w:left="173"/>
            </w:pPr>
            <w:r>
              <w:rPr>
                <w:spacing w:val="-4"/>
              </w:rPr>
              <w:t>健全</w:t>
            </w:r>
          </w:p>
        </w:tc>
        <w:tc>
          <w:tcPr>
            <w:tcW w:w="771" w:type="dxa"/>
            <w:vAlign w:val="top"/>
          </w:tcPr>
          <w:p w14:paraId="17E56F5D">
            <w:pPr>
              <w:spacing w:line="274" w:lineRule="auto"/>
              <w:rPr>
                <w:rFonts w:ascii="Arial"/>
                <w:sz w:val="21"/>
              </w:rPr>
            </w:pPr>
          </w:p>
          <w:p w14:paraId="36D22333">
            <w:pPr>
              <w:pStyle w:val="6"/>
              <w:spacing w:before="59" w:line="221" w:lineRule="auto"/>
              <w:ind w:left="210"/>
            </w:pPr>
            <w:r>
              <w:rPr>
                <w:spacing w:val="-4"/>
              </w:rPr>
              <w:t>健全</w:t>
            </w:r>
          </w:p>
        </w:tc>
        <w:tc>
          <w:tcPr>
            <w:tcW w:w="658" w:type="dxa"/>
            <w:vAlign w:val="top"/>
          </w:tcPr>
          <w:p w14:paraId="44CBC860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 w14:paraId="02AC8307">
            <w:pPr>
              <w:spacing w:line="274" w:lineRule="auto"/>
              <w:rPr>
                <w:rFonts w:ascii="Arial"/>
                <w:sz w:val="21"/>
              </w:rPr>
            </w:pPr>
          </w:p>
          <w:p w14:paraId="5CBD33F1">
            <w:pPr>
              <w:pStyle w:val="6"/>
              <w:spacing w:before="58"/>
              <w:ind w:left="260"/>
            </w:pPr>
            <w:r>
              <w:t>5</w:t>
            </w:r>
          </w:p>
        </w:tc>
        <w:tc>
          <w:tcPr>
            <w:tcW w:w="704" w:type="dxa"/>
            <w:vAlign w:val="top"/>
          </w:tcPr>
          <w:p w14:paraId="6ED848ED">
            <w:pPr>
              <w:spacing w:line="274" w:lineRule="auto"/>
              <w:rPr>
                <w:rFonts w:ascii="Arial"/>
                <w:sz w:val="21"/>
              </w:rPr>
            </w:pPr>
          </w:p>
          <w:p w14:paraId="2342474A">
            <w:pPr>
              <w:pStyle w:val="6"/>
              <w:spacing w:before="58"/>
              <w:ind w:left="316"/>
            </w:pPr>
            <w:r>
              <w:t>5</w:t>
            </w:r>
          </w:p>
        </w:tc>
        <w:tc>
          <w:tcPr>
            <w:tcW w:w="1361" w:type="dxa"/>
            <w:vAlign w:val="top"/>
          </w:tcPr>
          <w:p w14:paraId="59DFBDB9">
            <w:pPr>
              <w:rPr>
                <w:rFonts w:ascii="Arial"/>
                <w:sz w:val="21"/>
              </w:rPr>
            </w:pPr>
          </w:p>
        </w:tc>
      </w:tr>
      <w:tr w14:paraId="727AF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3E3EB97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5B37066">
            <w:pPr>
              <w:pStyle w:val="6"/>
              <w:spacing w:before="71" w:line="219" w:lineRule="auto"/>
              <w:ind w:left="138"/>
            </w:pPr>
            <w:r>
              <w:rPr>
                <w:spacing w:val="-4"/>
              </w:rPr>
              <w:t>满意</w:t>
            </w:r>
          </w:p>
          <w:p w14:paraId="55159EC7">
            <w:pPr>
              <w:pStyle w:val="6"/>
              <w:spacing w:before="98" w:line="280" w:lineRule="auto"/>
              <w:ind w:left="227" w:right="133" w:hanging="90"/>
            </w:pPr>
            <w:r>
              <w:rPr>
                <w:spacing w:val="-4"/>
              </w:rPr>
              <w:t>度指</w:t>
            </w:r>
            <w:r>
              <w:t>标</w:t>
            </w:r>
          </w:p>
        </w:tc>
        <w:tc>
          <w:tcPr>
            <w:tcW w:w="967" w:type="dxa"/>
            <w:vAlign w:val="top"/>
          </w:tcPr>
          <w:p w14:paraId="54F577CF">
            <w:pPr>
              <w:pStyle w:val="6"/>
              <w:spacing w:before="71" w:line="219" w:lineRule="auto"/>
              <w:ind w:left="127"/>
            </w:pPr>
            <w:r>
              <w:rPr>
                <w:spacing w:val="-2"/>
              </w:rPr>
              <w:t>服务对象</w:t>
            </w:r>
          </w:p>
          <w:p w14:paraId="57B86498">
            <w:pPr>
              <w:pStyle w:val="6"/>
              <w:spacing w:before="98" w:line="280" w:lineRule="auto"/>
              <w:ind w:left="396" w:right="121" w:hanging="269"/>
            </w:pPr>
            <w:r>
              <w:rPr>
                <w:spacing w:val="-2"/>
              </w:rPr>
              <w:t>满意度指</w:t>
            </w:r>
            <w:r>
              <w:t>标</w:t>
            </w:r>
          </w:p>
        </w:tc>
        <w:tc>
          <w:tcPr>
            <w:tcW w:w="1281" w:type="dxa"/>
            <w:vAlign w:val="top"/>
          </w:tcPr>
          <w:p w14:paraId="5E20533F">
            <w:pPr>
              <w:pStyle w:val="6"/>
              <w:spacing w:before="227" w:line="322" w:lineRule="auto"/>
              <w:ind w:left="374" w:right="187" w:hanging="176"/>
            </w:pPr>
            <w:r>
              <w:rPr>
                <w:spacing w:val="-3"/>
              </w:rPr>
              <w:t>办案人员的满意度</w:t>
            </w:r>
          </w:p>
        </w:tc>
        <w:tc>
          <w:tcPr>
            <w:tcW w:w="600" w:type="dxa"/>
            <w:vAlign w:val="top"/>
          </w:tcPr>
          <w:p w14:paraId="469796BA">
            <w:pPr>
              <w:spacing w:line="322" w:lineRule="auto"/>
              <w:rPr>
                <w:rFonts w:ascii="Arial"/>
                <w:sz w:val="21"/>
              </w:rPr>
            </w:pPr>
          </w:p>
          <w:p w14:paraId="63BB7356">
            <w:pPr>
              <w:pStyle w:val="6"/>
              <w:spacing w:before="59" w:line="221" w:lineRule="auto"/>
              <w:ind w:left="127"/>
            </w:pPr>
            <w:r>
              <w:rPr>
                <w:spacing w:val="-6"/>
              </w:rPr>
              <w:t>正向</w:t>
            </w:r>
          </w:p>
        </w:tc>
        <w:tc>
          <w:tcPr>
            <w:tcW w:w="675" w:type="dxa"/>
            <w:vAlign w:val="top"/>
          </w:tcPr>
          <w:p w14:paraId="1333F729">
            <w:pPr>
              <w:pStyle w:val="6"/>
              <w:spacing w:before="227" w:line="220" w:lineRule="auto"/>
              <w:ind w:left="164"/>
            </w:pPr>
            <w:r>
              <w:rPr>
                <w:spacing w:val="-5"/>
              </w:rPr>
              <w:t>大于</w:t>
            </w:r>
          </w:p>
          <w:p w14:paraId="5C3F4C45">
            <w:pPr>
              <w:pStyle w:val="6"/>
              <w:spacing w:before="97" w:line="219" w:lineRule="auto"/>
              <w:ind w:left="163"/>
            </w:pPr>
            <w:r>
              <w:rPr>
                <w:spacing w:val="-5"/>
              </w:rPr>
              <w:t>等于</w:t>
            </w:r>
          </w:p>
        </w:tc>
        <w:tc>
          <w:tcPr>
            <w:tcW w:w="698" w:type="dxa"/>
            <w:vAlign w:val="top"/>
          </w:tcPr>
          <w:p w14:paraId="7AEC9631">
            <w:pPr>
              <w:spacing w:line="322" w:lineRule="auto"/>
              <w:rPr>
                <w:rFonts w:ascii="Arial"/>
                <w:sz w:val="21"/>
              </w:rPr>
            </w:pPr>
          </w:p>
          <w:p w14:paraId="4E96A406">
            <w:pPr>
              <w:pStyle w:val="6"/>
              <w:spacing w:before="59"/>
              <w:ind w:left="265"/>
            </w:pPr>
            <w:r>
              <w:rPr>
                <w:spacing w:val="-4"/>
              </w:rPr>
              <w:t>95</w:t>
            </w:r>
          </w:p>
        </w:tc>
        <w:tc>
          <w:tcPr>
            <w:tcW w:w="771" w:type="dxa"/>
            <w:vAlign w:val="top"/>
          </w:tcPr>
          <w:p w14:paraId="74A720D4">
            <w:pPr>
              <w:spacing w:line="322" w:lineRule="auto"/>
              <w:rPr>
                <w:rFonts w:ascii="Arial"/>
                <w:sz w:val="21"/>
              </w:rPr>
            </w:pPr>
          </w:p>
          <w:p w14:paraId="37622B4A">
            <w:pPr>
              <w:pStyle w:val="6"/>
              <w:spacing w:before="59" w:line="239" w:lineRule="auto"/>
              <w:ind w:left="167"/>
            </w:pPr>
            <w:r>
              <w:rPr>
                <w:spacing w:val="-2"/>
              </w:rPr>
              <w:t>99.50</w:t>
            </w:r>
          </w:p>
        </w:tc>
        <w:tc>
          <w:tcPr>
            <w:tcW w:w="658" w:type="dxa"/>
            <w:vAlign w:val="top"/>
          </w:tcPr>
          <w:p w14:paraId="3A28479B">
            <w:pPr>
              <w:spacing w:line="322" w:lineRule="auto"/>
              <w:rPr>
                <w:rFonts w:ascii="Arial"/>
                <w:sz w:val="21"/>
              </w:rPr>
            </w:pPr>
          </w:p>
          <w:p w14:paraId="576660B2">
            <w:pPr>
              <w:pStyle w:val="6"/>
              <w:spacing w:before="59"/>
              <w:ind w:left="283"/>
            </w:pPr>
            <w:r>
              <w:t>%</w:t>
            </w:r>
          </w:p>
        </w:tc>
        <w:tc>
          <w:tcPr>
            <w:tcW w:w="595" w:type="dxa"/>
            <w:vAlign w:val="top"/>
          </w:tcPr>
          <w:p w14:paraId="66894D70">
            <w:pPr>
              <w:spacing w:line="322" w:lineRule="auto"/>
              <w:rPr>
                <w:rFonts w:ascii="Arial"/>
                <w:sz w:val="21"/>
              </w:rPr>
            </w:pPr>
          </w:p>
          <w:p w14:paraId="313E9E01">
            <w:pPr>
              <w:pStyle w:val="6"/>
              <w:spacing w:before="59"/>
              <w:ind w:left="227"/>
            </w:pPr>
            <w:r>
              <w:rPr>
                <w:spacing w:val="-10"/>
              </w:rPr>
              <w:t>10</w:t>
            </w:r>
          </w:p>
        </w:tc>
        <w:tc>
          <w:tcPr>
            <w:tcW w:w="704" w:type="dxa"/>
            <w:vAlign w:val="top"/>
          </w:tcPr>
          <w:p w14:paraId="0A198F46">
            <w:pPr>
              <w:spacing w:line="322" w:lineRule="auto"/>
              <w:rPr>
                <w:rFonts w:ascii="Arial"/>
                <w:sz w:val="21"/>
              </w:rPr>
            </w:pPr>
          </w:p>
          <w:p w14:paraId="455EB155">
            <w:pPr>
              <w:pStyle w:val="6"/>
              <w:spacing w:before="59"/>
              <w:ind w:left="280"/>
            </w:pPr>
            <w:r>
              <w:rPr>
                <w:spacing w:val="-10"/>
              </w:rPr>
              <w:t>10</w:t>
            </w:r>
          </w:p>
        </w:tc>
        <w:tc>
          <w:tcPr>
            <w:tcW w:w="1361" w:type="dxa"/>
            <w:vAlign w:val="top"/>
          </w:tcPr>
          <w:p w14:paraId="6F43CCE0">
            <w:pPr>
              <w:rPr>
                <w:rFonts w:ascii="Arial"/>
                <w:sz w:val="21"/>
              </w:rPr>
            </w:pPr>
          </w:p>
        </w:tc>
      </w:tr>
      <w:tr w14:paraId="6BD23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244" w:type="dxa"/>
            <w:gridSpan w:val="9"/>
            <w:vAlign w:val="top"/>
          </w:tcPr>
          <w:p w14:paraId="467618E3">
            <w:pPr>
              <w:spacing w:line="276" w:lineRule="auto"/>
              <w:rPr>
                <w:rFonts w:ascii="Arial"/>
                <w:sz w:val="21"/>
              </w:rPr>
            </w:pPr>
          </w:p>
          <w:p w14:paraId="38C0A379">
            <w:pPr>
              <w:pStyle w:val="6"/>
              <w:spacing w:before="58" w:line="220" w:lineRule="auto"/>
              <w:ind w:left="3452"/>
            </w:pPr>
            <w:r>
              <w:rPr>
                <w:spacing w:val="-6"/>
              </w:rPr>
              <w:t>总分</w:t>
            </w:r>
          </w:p>
        </w:tc>
        <w:tc>
          <w:tcPr>
            <w:tcW w:w="595" w:type="dxa"/>
            <w:vAlign w:val="top"/>
          </w:tcPr>
          <w:p w14:paraId="3B62AF7A">
            <w:pPr>
              <w:spacing w:line="275" w:lineRule="auto"/>
              <w:rPr>
                <w:rFonts w:ascii="Arial"/>
                <w:sz w:val="21"/>
              </w:rPr>
            </w:pPr>
          </w:p>
          <w:p w14:paraId="129B01CB">
            <w:pPr>
              <w:pStyle w:val="6"/>
              <w:spacing w:before="59"/>
              <w:ind w:left="181"/>
            </w:pPr>
            <w:r>
              <w:rPr>
                <w:spacing w:val="-7"/>
              </w:rPr>
              <w:t>100</w:t>
            </w:r>
          </w:p>
        </w:tc>
        <w:tc>
          <w:tcPr>
            <w:tcW w:w="704" w:type="dxa"/>
            <w:vAlign w:val="top"/>
          </w:tcPr>
          <w:p w14:paraId="3A66E217">
            <w:pPr>
              <w:spacing w:line="275" w:lineRule="auto"/>
              <w:rPr>
                <w:rFonts w:ascii="Arial"/>
                <w:sz w:val="21"/>
              </w:rPr>
            </w:pPr>
          </w:p>
          <w:p w14:paraId="2E9FBDB0">
            <w:pPr>
              <w:pStyle w:val="6"/>
              <w:spacing w:before="59" w:line="239" w:lineRule="auto"/>
              <w:ind w:left="133"/>
            </w:pPr>
            <w:r>
              <w:rPr>
                <w:spacing w:val="-2"/>
              </w:rPr>
              <w:t>96.00</w:t>
            </w:r>
          </w:p>
        </w:tc>
        <w:tc>
          <w:tcPr>
            <w:tcW w:w="1361" w:type="dxa"/>
            <w:vAlign w:val="top"/>
          </w:tcPr>
          <w:p w14:paraId="7954C897">
            <w:pPr>
              <w:rPr>
                <w:rFonts w:ascii="Arial"/>
                <w:sz w:val="21"/>
              </w:rPr>
            </w:pPr>
          </w:p>
        </w:tc>
      </w:tr>
    </w:tbl>
    <w:p w14:paraId="1021DD1D">
      <w:pPr>
        <w:spacing w:before="39"/>
      </w:pPr>
    </w:p>
    <w:p w14:paraId="372ECFDA">
      <w:pPr>
        <w:spacing w:before="39"/>
      </w:pPr>
    </w:p>
    <w:p w14:paraId="71F30417">
      <w:pPr>
        <w:spacing w:before="38"/>
      </w:pPr>
    </w:p>
    <w:p w14:paraId="28C981B2">
      <w:pPr>
        <w:spacing w:before="38"/>
      </w:pPr>
    </w:p>
    <w:tbl>
      <w:tblPr>
        <w:tblStyle w:val="5"/>
        <w:tblW w:w="99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959"/>
        <w:gridCol w:w="949"/>
        <w:gridCol w:w="1450"/>
        <w:gridCol w:w="722"/>
        <w:gridCol w:w="846"/>
        <w:gridCol w:w="518"/>
        <w:gridCol w:w="1698"/>
        <w:gridCol w:w="1167"/>
      </w:tblGrid>
      <w:tr w14:paraId="6133D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918" w:type="dxa"/>
            <w:gridSpan w:val="9"/>
            <w:vAlign w:val="top"/>
          </w:tcPr>
          <w:p w14:paraId="4472C588">
            <w:pPr>
              <w:pStyle w:val="6"/>
              <w:spacing w:before="116" w:line="221" w:lineRule="auto"/>
              <w:ind w:left="3172"/>
              <w:rPr>
                <w:sz w:val="40"/>
                <w:szCs w:val="40"/>
              </w:rPr>
            </w:pPr>
            <w:r>
              <w:rPr>
                <w:b/>
                <w:bCs/>
                <w:spacing w:val="-6"/>
                <w:sz w:val="40"/>
                <w:szCs w:val="40"/>
              </w:rPr>
              <w:t>项目支出绩效自评表</w:t>
            </w:r>
          </w:p>
          <w:p w14:paraId="2BE369E3">
            <w:pPr>
              <w:pStyle w:val="6"/>
              <w:spacing w:before="145" w:line="220" w:lineRule="auto"/>
              <w:ind w:left="3887"/>
              <w:rPr>
                <w:sz w:val="40"/>
                <w:szCs w:val="40"/>
              </w:rPr>
            </w:pPr>
            <w:r>
              <w:rPr>
                <w:b/>
                <w:bCs/>
                <w:spacing w:val="-17"/>
                <w:sz w:val="40"/>
                <w:szCs w:val="40"/>
              </w:rPr>
              <w:t>(2024</w:t>
            </w:r>
            <w:r>
              <w:rPr>
                <w:spacing w:val="-77"/>
                <w:sz w:val="40"/>
                <w:szCs w:val="40"/>
              </w:rPr>
              <w:t xml:space="preserve"> </w:t>
            </w:r>
            <w:r>
              <w:rPr>
                <w:b/>
                <w:bCs/>
                <w:spacing w:val="-17"/>
                <w:sz w:val="40"/>
                <w:szCs w:val="40"/>
              </w:rPr>
              <w:t>年度）</w:t>
            </w:r>
          </w:p>
        </w:tc>
      </w:tr>
      <w:tr w14:paraId="1B83E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09" w:type="dxa"/>
            <w:vAlign w:val="top"/>
          </w:tcPr>
          <w:p w14:paraId="0FB650DC">
            <w:pPr>
              <w:pStyle w:val="6"/>
              <w:spacing w:before="101" w:line="220" w:lineRule="auto"/>
              <w:ind w:left="786"/>
            </w:pPr>
            <w:r>
              <w:rPr>
                <w:spacing w:val="-3"/>
              </w:rPr>
              <w:t>项目名称</w:t>
            </w:r>
          </w:p>
        </w:tc>
        <w:tc>
          <w:tcPr>
            <w:tcW w:w="8309" w:type="dxa"/>
            <w:gridSpan w:val="8"/>
            <w:vAlign w:val="top"/>
          </w:tcPr>
          <w:p w14:paraId="3C9ED2D7">
            <w:pPr>
              <w:pStyle w:val="6"/>
              <w:spacing w:before="101" w:line="219" w:lineRule="auto"/>
              <w:ind w:left="110"/>
            </w:pPr>
            <w:r>
              <w:rPr>
                <w:spacing w:val="-2"/>
              </w:rPr>
              <w:t>业务装备经费</w:t>
            </w:r>
          </w:p>
        </w:tc>
      </w:tr>
      <w:tr w14:paraId="07D2D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09" w:type="dxa"/>
            <w:vAlign w:val="top"/>
          </w:tcPr>
          <w:p w14:paraId="4F4C105E">
            <w:pPr>
              <w:pStyle w:val="6"/>
              <w:spacing w:before="102" w:line="219" w:lineRule="auto"/>
              <w:ind w:left="785"/>
            </w:pPr>
            <w:r>
              <w:rPr>
                <w:spacing w:val="-3"/>
              </w:rPr>
              <w:t>主管部门</w:t>
            </w:r>
          </w:p>
        </w:tc>
        <w:tc>
          <w:tcPr>
            <w:tcW w:w="3358" w:type="dxa"/>
            <w:gridSpan w:val="3"/>
            <w:vAlign w:val="top"/>
          </w:tcPr>
          <w:p w14:paraId="5C1C0FF5">
            <w:pPr>
              <w:pStyle w:val="6"/>
              <w:spacing w:before="102" w:line="219" w:lineRule="auto"/>
              <w:ind w:left="110"/>
            </w:pPr>
            <w:r>
              <w:rPr>
                <w:spacing w:val="-1"/>
              </w:rPr>
              <w:t>杭锦旗人民检察院部门</w:t>
            </w:r>
          </w:p>
        </w:tc>
        <w:tc>
          <w:tcPr>
            <w:tcW w:w="1568" w:type="dxa"/>
            <w:gridSpan w:val="2"/>
            <w:vAlign w:val="top"/>
          </w:tcPr>
          <w:p w14:paraId="3E94B934">
            <w:pPr>
              <w:pStyle w:val="6"/>
              <w:spacing w:before="102" w:line="220" w:lineRule="auto"/>
              <w:ind w:left="750"/>
            </w:pPr>
            <w:r>
              <w:rPr>
                <w:spacing w:val="-3"/>
              </w:rPr>
              <w:t>实施单位</w:t>
            </w:r>
          </w:p>
        </w:tc>
        <w:tc>
          <w:tcPr>
            <w:tcW w:w="3383" w:type="dxa"/>
            <w:gridSpan w:val="3"/>
            <w:vAlign w:val="top"/>
          </w:tcPr>
          <w:p w14:paraId="7775F029">
            <w:pPr>
              <w:pStyle w:val="6"/>
              <w:spacing w:before="102" w:line="219" w:lineRule="auto"/>
              <w:ind w:left="113"/>
            </w:pPr>
            <w:r>
              <w:rPr>
                <w:spacing w:val="-1"/>
              </w:rPr>
              <w:t>杭锦旗人民检察院</w:t>
            </w:r>
          </w:p>
        </w:tc>
      </w:tr>
      <w:tr w14:paraId="13313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9" w:type="dxa"/>
            <w:vMerge w:val="restart"/>
            <w:tcBorders>
              <w:bottom w:val="nil"/>
            </w:tcBorders>
            <w:vAlign w:val="top"/>
          </w:tcPr>
          <w:p w14:paraId="739C6173">
            <w:pPr>
              <w:spacing w:line="254" w:lineRule="auto"/>
              <w:rPr>
                <w:rFonts w:ascii="Arial"/>
                <w:sz w:val="21"/>
              </w:rPr>
            </w:pPr>
          </w:p>
          <w:p w14:paraId="7440857A">
            <w:pPr>
              <w:spacing w:line="254" w:lineRule="auto"/>
              <w:rPr>
                <w:rFonts w:ascii="Arial"/>
                <w:sz w:val="21"/>
              </w:rPr>
            </w:pPr>
          </w:p>
          <w:p w14:paraId="6FEADC33">
            <w:pPr>
              <w:spacing w:line="254" w:lineRule="auto"/>
              <w:rPr>
                <w:rFonts w:ascii="Arial"/>
                <w:sz w:val="21"/>
              </w:rPr>
            </w:pPr>
          </w:p>
          <w:p w14:paraId="005A73D6">
            <w:pPr>
              <w:spacing w:line="254" w:lineRule="auto"/>
              <w:rPr>
                <w:rFonts w:ascii="Arial"/>
                <w:sz w:val="21"/>
              </w:rPr>
            </w:pPr>
          </w:p>
          <w:p w14:paraId="0C92B769">
            <w:pPr>
              <w:spacing w:line="255" w:lineRule="auto"/>
              <w:rPr>
                <w:rFonts w:ascii="Arial"/>
                <w:sz w:val="21"/>
              </w:rPr>
            </w:pPr>
          </w:p>
          <w:p w14:paraId="171F3A95">
            <w:pPr>
              <w:pStyle w:val="6"/>
              <w:spacing w:before="59" w:line="322" w:lineRule="auto"/>
              <w:ind w:left="456" w:right="443" w:hanging="6"/>
            </w:pPr>
            <w:r>
              <w:rPr>
                <w:spacing w:val="-3"/>
              </w:rPr>
              <w:t>项目资金</w:t>
            </w:r>
            <w:r>
              <w:rPr>
                <w:spacing w:val="-5"/>
              </w:rPr>
              <w:t>（万元）</w:t>
            </w:r>
          </w:p>
        </w:tc>
        <w:tc>
          <w:tcPr>
            <w:tcW w:w="959" w:type="dxa"/>
            <w:vAlign w:val="top"/>
          </w:tcPr>
          <w:p w14:paraId="2CA15352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3CD0E9B5">
            <w:pPr>
              <w:pStyle w:val="6"/>
              <w:spacing w:before="68" w:line="282" w:lineRule="auto"/>
              <w:ind w:left="388" w:right="112" w:hanging="269"/>
            </w:pPr>
            <w:r>
              <w:rPr>
                <w:spacing w:val="-2"/>
              </w:rPr>
              <w:t>年初预算</w:t>
            </w:r>
            <w:r>
              <w:t>数</w:t>
            </w:r>
          </w:p>
        </w:tc>
        <w:tc>
          <w:tcPr>
            <w:tcW w:w="1450" w:type="dxa"/>
            <w:vAlign w:val="top"/>
          </w:tcPr>
          <w:p w14:paraId="7BAB1164">
            <w:pPr>
              <w:pStyle w:val="6"/>
              <w:spacing w:before="224" w:line="219" w:lineRule="auto"/>
              <w:ind w:left="278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568" w:type="dxa"/>
            <w:gridSpan w:val="2"/>
            <w:vAlign w:val="top"/>
          </w:tcPr>
          <w:p w14:paraId="13E57310">
            <w:pPr>
              <w:pStyle w:val="6"/>
              <w:spacing w:before="224" w:line="219" w:lineRule="auto"/>
              <w:ind w:left="340"/>
            </w:pPr>
            <w:r>
              <w:rPr>
                <w:spacing w:val="-2"/>
              </w:rPr>
              <w:t>全年执行数</w:t>
            </w:r>
          </w:p>
        </w:tc>
        <w:tc>
          <w:tcPr>
            <w:tcW w:w="518" w:type="dxa"/>
            <w:textDirection w:val="tbRlV"/>
            <w:vAlign w:val="top"/>
          </w:tcPr>
          <w:p w14:paraId="372514E1">
            <w:pPr>
              <w:pStyle w:val="6"/>
              <w:spacing w:before="165" w:line="208" w:lineRule="auto"/>
              <w:ind w:left="67"/>
            </w:pPr>
            <w:r>
              <w:rPr>
                <w:spacing w:val="-1"/>
              </w:rPr>
              <w:t>分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  <w:tc>
          <w:tcPr>
            <w:tcW w:w="1698" w:type="dxa"/>
            <w:vAlign w:val="top"/>
          </w:tcPr>
          <w:p w14:paraId="76F709DA">
            <w:pPr>
              <w:pStyle w:val="6"/>
              <w:spacing w:before="224" w:line="219" w:lineRule="auto"/>
              <w:ind w:left="359"/>
            </w:pPr>
            <w:r>
              <w:rPr>
                <w:spacing w:val="-2"/>
              </w:rPr>
              <w:t>执行率（%）</w:t>
            </w:r>
          </w:p>
        </w:tc>
        <w:tc>
          <w:tcPr>
            <w:tcW w:w="1167" w:type="dxa"/>
            <w:vAlign w:val="top"/>
          </w:tcPr>
          <w:p w14:paraId="253930F9">
            <w:pPr>
              <w:pStyle w:val="6"/>
              <w:spacing w:before="224" w:line="219" w:lineRule="auto"/>
              <w:ind w:left="409"/>
            </w:pPr>
            <w:r>
              <w:rPr>
                <w:spacing w:val="-4"/>
              </w:rPr>
              <w:t>得分</w:t>
            </w:r>
          </w:p>
        </w:tc>
      </w:tr>
      <w:tr w14:paraId="41B6A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9" w:type="dxa"/>
            <w:vMerge w:val="continue"/>
            <w:tcBorders>
              <w:top w:val="nil"/>
              <w:bottom w:val="nil"/>
            </w:tcBorders>
            <w:vAlign w:val="top"/>
          </w:tcPr>
          <w:p w14:paraId="280BE44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D4A17BD">
            <w:pPr>
              <w:pStyle w:val="6"/>
              <w:spacing w:before="68" w:line="282" w:lineRule="auto"/>
              <w:ind w:left="307" w:right="118" w:hanging="184"/>
            </w:pPr>
            <w:r>
              <w:rPr>
                <w:spacing w:val="-2"/>
              </w:rPr>
              <w:t>年度资金</w:t>
            </w:r>
            <w:r>
              <w:rPr>
                <w:spacing w:val="-6"/>
              </w:rPr>
              <w:t>总额</w:t>
            </w:r>
          </w:p>
        </w:tc>
        <w:tc>
          <w:tcPr>
            <w:tcW w:w="949" w:type="dxa"/>
            <w:vAlign w:val="top"/>
          </w:tcPr>
          <w:p w14:paraId="569D709F">
            <w:pPr>
              <w:pStyle w:val="6"/>
              <w:spacing w:before="223"/>
              <w:ind w:left="115"/>
            </w:pPr>
            <w:r>
              <w:rPr>
                <w:spacing w:val="-5"/>
              </w:rPr>
              <w:t>36</w:t>
            </w:r>
          </w:p>
        </w:tc>
        <w:tc>
          <w:tcPr>
            <w:tcW w:w="1450" w:type="dxa"/>
            <w:vAlign w:val="top"/>
          </w:tcPr>
          <w:p w14:paraId="1300762B">
            <w:pPr>
              <w:pStyle w:val="6"/>
              <w:spacing w:before="223"/>
              <w:ind w:left="642"/>
            </w:pPr>
            <w:r>
              <w:rPr>
                <w:spacing w:val="-5"/>
              </w:rPr>
              <w:t>36</w:t>
            </w:r>
          </w:p>
        </w:tc>
        <w:tc>
          <w:tcPr>
            <w:tcW w:w="1568" w:type="dxa"/>
            <w:gridSpan w:val="2"/>
            <w:vAlign w:val="top"/>
          </w:tcPr>
          <w:p w14:paraId="430A8D50">
            <w:pPr>
              <w:pStyle w:val="6"/>
              <w:spacing w:before="223"/>
              <w:ind w:left="704"/>
            </w:pPr>
            <w:r>
              <w:rPr>
                <w:spacing w:val="-5"/>
              </w:rPr>
              <w:t>36</w:t>
            </w:r>
          </w:p>
        </w:tc>
        <w:tc>
          <w:tcPr>
            <w:tcW w:w="518" w:type="dxa"/>
            <w:vAlign w:val="top"/>
          </w:tcPr>
          <w:p w14:paraId="721FEAD3">
            <w:pPr>
              <w:pStyle w:val="6"/>
              <w:spacing w:before="223"/>
              <w:ind w:left="187"/>
            </w:pPr>
            <w:r>
              <w:rPr>
                <w:spacing w:val="-10"/>
              </w:rPr>
              <w:t>10</w:t>
            </w:r>
          </w:p>
        </w:tc>
        <w:tc>
          <w:tcPr>
            <w:tcW w:w="1698" w:type="dxa"/>
            <w:vAlign w:val="top"/>
          </w:tcPr>
          <w:p w14:paraId="5C7A0100">
            <w:pPr>
              <w:pStyle w:val="6"/>
              <w:spacing w:before="223"/>
              <w:ind w:left="732"/>
            </w:pPr>
            <w:r>
              <w:rPr>
                <w:spacing w:val="-7"/>
              </w:rPr>
              <w:t>100</w:t>
            </w:r>
          </w:p>
        </w:tc>
        <w:tc>
          <w:tcPr>
            <w:tcW w:w="1167" w:type="dxa"/>
            <w:vAlign w:val="top"/>
          </w:tcPr>
          <w:p w14:paraId="0063579E">
            <w:pPr>
              <w:pStyle w:val="6"/>
              <w:spacing w:before="223"/>
              <w:ind w:left="510"/>
            </w:pPr>
            <w:r>
              <w:rPr>
                <w:spacing w:val="-10"/>
              </w:rPr>
              <w:t>10</w:t>
            </w:r>
          </w:p>
        </w:tc>
      </w:tr>
      <w:tr w14:paraId="18410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9" w:type="dxa"/>
            <w:vMerge w:val="continue"/>
            <w:tcBorders>
              <w:top w:val="nil"/>
              <w:bottom w:val="nil"/>
            </w:tcBorders>
            <w:vAlign w:val="top"/>
          </w:tcPr>
          <w:p w14:paraId="1BCC65F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DA4FC08">
            <w:pPr>
              <w:pStyle w:val="6"/>
              <w:spacing w:before="71" w:line="280" w:lineRule="auto"/>
              <w:ind w:left="110" w:right="130" w:firstLine="1"/>
            </w:pPr>
            <w:r>
              <w:rPr>
                <w:spacing w:val="-2"/>
              </w:rPr>
              <w:t>其中：财</w:t>
            </w:r>
            <w:r>
              <w:rPr>
                <w:spacing w:val="-3"/>
              </w:rPr>
              <w:t>政拨款</w:t>
            </w:r>
          </w:p>
        </w:tc>
        <w:tc>
          <w:tcPr>
            <w:tcW w:w="949" w:type="dxa"/>
            <w:vAlign w:val="top"/>
          </w:tcPr>
          <w:p w14:paraId="0D385040">
            <w:pPr>
              <w:pStyle w:val="6"/>
              <w:spacing w:before="226"/>
              <w:ind w:left="115"/>
            </w:pPr>
            <w:r>
              <w:rPr>
                <w:spacing w:val="-5"/>
              </w:rPr>
              <w:t>36</w:t>
            </w:r>
          </w:p>
        </w:tc>
        <w:tc>
          <w:tcPr>
            <w:tcW w:w="1450" w:type="dxa"/>
            <w:vAlign w:val="top"/>
          </w:tcPr>
          <w:p w14:paraId="15CD69D3">
            <w:pPr>
              <w:pStyle w:val="6"/>
              <w:spacing w:before="226"/>
              <w:ind w:left="642"/>
            </w:pPr>
            <w:r>
              <w:rPr>
                <w:spacing w:val="-5"/>
              </w:rPr>
              <w:t>36</w:t>
            </w:r>
          </w:p>
        </w:tc>
        <w:tc>
          <w:tcPr>
            <w:tcW w:w="1568" w:type="dxa"/>
            <w:gridSpan w:val="2"/>
            <w:vAlign w:val="top"/>
          </w:tcPr>
          <w:p w14:paraId="45F00D63">
            <w:pPr>
              <w:pStyle w:val="6"/>
              <w:spacing w:before="226"/>
              <w:ind w:left="704"/>
            </w:pPr>
            <w:r>
              <w:rPr>
                <w:spacing w:val="-5"/>
              </w:rPr>
              <w:t>36</w:t>
            </w:r>
          </w:p>
        </w:tc>
        <w:tc>
          <w:tcPr>
            <w:tcW w:w="518" w:type="dxa"/>
            <w:vAlign w:val="top"/>
          </w:tcPr>
          <w:p w14:paraId="621E280E">
            <w:pPr>
              <w:spacing w:before="171" w:line="93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222222"/>
                <w:spacing w:val="10"/>
                <w:position w:val="-2"/>
                <w:sz w:val="18"/>
                <w:szCs w:val="18"/>
              </w:rPr>
              <w:t>—</w:t>
            </w:r>
          </w:p>
          <w:p w14:paraId="04BD8BFA">
            <w:pPr>
              <w:spacing w:before="219" w:line="93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222222"/>
                <w:spacing w:val="10"/>
                <w:position w:val="-2"/>
                <w:sz w:val="18"/>
                <w:szCs w:val="18"/>
              </w:rPr>
              <w:t>—</w:t>
            </w:r>
          </w:p>
        </w:tc>
        <w:tc>
          <w:tcPr>
            <w:tcW w:w="1698" w:type="dxa"/>
            <w:vAlign w:val="top"/>
          </w:tcPr>
          <w:p w14:paraId="22823E88">
            <w:pPr>
              <w:pStyle w:val="6"/>
              <w:spacing w:before="226"/>
              <w:ind w:left="732"/>
            </w:pPr>
            <w:r>
              <w:rPr>
                <w:spacing w:val="-7"/>
              </w:rPr>
              <w:t>100</w:t>
            </w:r>
          </w:p>
        </w:tc>
        <w:tc>
          <w:tcPr>
            <w:tcW w:w="1167" w:type="dxa"/>
            <w:vAlign w:val="top"/>
          </w:tcPr>
          <w:p w14:paraId="55AB57BB">
            <w:pPr>
              <w:spacing w:line="274" w:lineRule="auto"/>
              <w:rPr>
                <w:rFonts w:ascii="Arial"/>
                <w:sz w:val="21"/>
              </w:rPr>
            </w:pPr>
          </w:p>
          <w:p w14:paraId="048A3FC2">
            <w:pPr>
              <w:spacing w:before="52" w:line="92" w:lineRule="exact"/>
              <w:ind w:left="38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14:paraId="3AEB7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9" w:type="dxa"/>
            <w:vMerge w:val="continue"/>
            <w:tcBorders>
              <w:top w:val="nil"/>
              <w:bottom w:val="nil"/>
            </w:tcBorders>
            <w:vAlign w:val="top"/>
          </w:tcPr>
          <w:p w14:paraId="5711CD3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C4D7C38">
            <w:pPr>
              <w:pStyle w:val="6"/>
              <w:spacing w:before="71" w:line="280" w:lineRule="auto"/>
              <w:ind w:left="310" w:right="118" w:hanging="186"/>
            </w:pPr>
            <w:r>
              <w:rPr>
                <w:spacing w:val="-3"/>
              </w:rPr>
              <w:t>上年结转</w:t>
            </w:r>
            <w:r>
              <w:rPr>
                <w:spacing w:val="-8"/>
              </w:rPr>
              <w:t>资金</w:t>
            </w:r>
          </w:p>
        </w:tc>
        <w:tc>
          <w:tcPr>
            <w:tcW w:w="949" w:type="dxa"/>
            <w:vAlign w:val="top"/>
          </w:tcPr>
          <w:p w14:paraId="6AC594F0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7BCD6990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 w14:paraId="6B2F1B60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DDDCBF0">
            <w:pPr>
              <w:tabs>
                <w:tab w:val="left" w:pos="352"/>
              </w:tabs>
              <w:spacing w:line="222" w:lineRule="auto"/>
              <w:ind w:left="16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222222"/>
              </w:rPr>
              <w:tab/>
            </w:r>
          </w:p>
          <w:p w14:paraId="2FD2E049">
            <w:pPr>
              <w:tabs>
                <w:tab w:val="left" w:pos="352"/>
              </w:tabs>
              <w:spacing w:before="70"/>
              <w:ind w:left="16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222222"/>
              </w:rPr>
              <w:tab/>
            </w:r>
          </w:p>
        </w:tc>
        <w:tc>
          <w:tcPr>
            <w:tcW w:w="1698" w:type="dxa"/>
            <w:vAlign w:val="top"/>
          </w:tcPr>
          <w:p w14:paraId="757D7395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Align w:val="top"/>
          </w:tcPr>
          <w:p w14:paraId="1221CED0">
            <w:pPr>
              <w:spacing w:line="274" w:lineRule="auto"/>
              <w:rPr>
                <w:rFonts w:ascii="Arial"/>
                <w:sz w:val="21"/>
              </w:rPr>
            </w:pPr>
          </w:p>
          <w:p w14:paraId="7E62D630">
            <w:pPr>
              <w:spacing w:before="52" w:line="93" w:lineRule="exact"/>
              <w:ind w:left="38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14:paraId="4C576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09" w:type="dxa"/>
            <w:vMerge w:val="continue"/>
            <w:tcBorders>
              <w:top w:val="nil"/>
            </w:tcBorders>
            <w:vAlign w:val="top"/>
          </w:tcPr>
          <w:p w14:paraId="6C4C116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1411BBE">
            <w:pPr>
              <w:pStyle w:val="6"/>
              <w:spacing w:before="228" w:line="220" w:lineRule="auto"/>
              <w:ind w:left="123"/>
            </w:pPr>
            <w:r>
              <w:rPr>
                <w:spacing w:val="-2"/>
              </w:rPr>
              <w:t>其他资金</w:t>
            </w:r>
          </w:p>
        </w:tc>
        <w:tc>
          <w:tcPr>
            <w:tcW w:w="949" w:type="dxa"/>
            <w:vAlign w:val="top"/>
          </w:tcPr>
          <w:p w14:paraId="118A2155">
            <w:pPr>
              <w:pStyle w:val="6"/>
              <w:spacing w:before="228"/>
              <w:ind w:left="113"/>
            </w:pPr>
            <w:r>
              <w:t>0</w:t>
            </w:r>
          </w:p>
        </w:tc>
        <w:tc>
          <w:tcPr>
            <w:tcW w:w="1450" w:type="dxa"/>
            <w:vAlign w:val="top"/>
          </w:tcPr>
          <w:p w14:paraId="4C56F849">
            <w:pPr>
              <w:pStyle w:val="6"/>
              <w:spacing w:before="228"/>
              <w:ind w:left="685"/>
            </w:pPr>
            <w:r>
              <w:t>0</w:t>
            </w:r>
          </w:p>
        </w:tc>
        <w:tc>
          <w:tcPr>
            <w:tcW w:w="1568" w:type="dxa"/>
            <w:gridSpan w:val="2"/>
            <w:vAlign w:val="top"/>
          </w:tcPr>
          <w:p w14:paraId="19FE6423">
            <w:pPr>
              <w:pStyle w:val="6"/>
              <w:spacing w:before="228"/>
              <w:ind w:left="745"/>
            </w:pPr>
            <w:r>
              <w:t>0</w:t>
            </w:r>
          </w:p>
        </w:tc>
        <w:tc>
          <w:tcPr>
            <w:tcW w:w="518" w:type="dxa"/>
            <w:vAlign w:val="top"/>
          </w:tcPr>
          <w:p w14:paraId="31E5CD6F">
            <w:pPr>
              <w:tabs>
                <w:tab w:val="left" w:pos="352"/>
              </w:tabs>
              <w:spacing w:line="223" w:lineRule="auto"/>
              <w:ind w:left="16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222222"/>
              </w:rPr>
              <w:tab/>
            </w:r>
          </w:p>
          <w:p w14:paraId="2244AF8C">
            <w:pPr>
              <w:tabs>
                <w:tab w:val="left" w:pos="352"/>
              </w:tabs>
              <w:spacing w:before="70"/>
              <w:ind w:left="16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222222"/>
              </w:rPr>
              <w:tab/>
            </w:r>
          </w:p>
        </w:tc>
        <w:tc>
          <w:tcPr>
            <w:tcW w:w="1698" w:type="dxa"/>
            <w:vAlign w:val="top"/>
          </w:tcPr>
          <w:p w14:paraId="75C8E1B9">
            <w:pPr>
              <w:pStyle w:val="6"/>
              <w:spacing w:before="228"/>
              <w:ind w:left="812"/>
            </w:pPr>
            <w:r>
              <w:t>0</w:t>
            </w:r>
          </w:p>
        </w:tc>
        <w:tc>
          <w:tcPr>
            <w:tcW w:w="1167" w:type="dxa"/>
            <w:vAlign w:val="top"/>
          </w:tcPr>
          <w:p w14:paraId="7E546210">
            <w:pPr>
              <w:spacing w:line="275" w:lineRule="auto"/>
              <w:rPr>
                <w:rFonts w:ascii="Arial"/>
                <w:sz w:val="21"/>
              </w:rPr>
            </w:pPr>
          </w:p>
          <w:p w14:paraId="5E31ED70">
            <w:pPr>
              <w:spacing w:before="52" w:line="92" w:lineRule="exact"/>
              <w:ind w:left="38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14:paraId="67FFF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09" w:type="dxa"/>
            <w:vMerge w:val="restart"/>
            <w:tcBorders>
              <w:bottom w:val="nil"/>
            </w:tcBorders>
            <w:vAlign w:val="top"/>
          </w:tcPr>
          <w:p w14:paraId="6A55AE26">
            <w:pPr>
              <w:spacing w:line="275" w:lineRule="auto"/>
              <w:rPr>
                <w:rFonts w:ascii="Arial"/>
                <w:sz w:val="21"/>
              </w:rPr>
            </w:pPr>
          </w:p>
          <w:p w14:paraId="12702DCC">
            <w:pPr>
              <w:spacing w:line="276" w:lineRule="auto"/>
              <w:rPr>
                <w:rFonts w:ascii="Arial"/>
                <w:sz w:val="21"/>
              </w:rPr>
            </w:pPr>
          </w:p>
          <w:p w14:paraId="48BB7CB9">
            <w:pPr>
              <w:spacing w:line="276" w:lineRule="auto"/>
              <w:rPr>
                <w:rFonts w:ascii="Arial"/>
                <w:sz w:val="21"/>
              </w:rPr>
            </w:pPr>
          </w:p>
          <w:p w14:paraId="64CB4D5B">
            <w:pPr>
              <w:pStyle w:val="6"/>
              <w:spacing w:before="58" w:line="219" w:lineRule="auto"/>
              <w:ind w:left="268"/>
            </w:pPr>
            <w:r>
              <w:rPr>
                <w:spacing w:val="-2"/>
              </w:rPr>
              <w:t>年度总体目标</w:t>
            </w:r>
          </w:p>
        </w:tc>
        <w:tc>
          <w:tcPr>
            <w:tcW w:w="4080" w:type="dxa"/>
            <w:gridSpan w:val="4"/>
            <w:vAlign w:val="top"/>
          </w:tcPr>
          <w:p w14:paraId="780D2C18">
            <w:pPr>
              <w:pStyle w:val="6"/>
              <w:spacing w:before="105" w:line="220" w:lineRule="auto"/>
              <w:ind w:left="1684"/>
            </w:pPr>
            <w:r>
              <w:rPr>
                <w:spacing w:val="-3"/>
              </w:rPr>
              <w:t>预期目标</w:t>
            </w:r>
          </w:p>
        </w:tc>
        <w:tc>
          <w:tcPr>
            <w:tcW w:w="4229" w:type="dxa"/>
            <w:gridSpan w:val="4"/>
            <w:vAlign w:val="top"/>
          </w:tcPr>
          <w:p w14:paraId="5ED1EB9E">
            <w:pPr>
              <w:pStyle w:val="6"/>
              <w:spacing w:before="106" w:line="219" w:lineRule="auto"/>
              <w:ind w:left="1583"/>
            </w:pPr>
            <w:r>
              <w:rPr>
                <w:spacing w:val="-2"/>
              </w:rPr>
              <w:t>实际完成情况</w:t>
            </w:r>
          </w:p>
        </w:tc>
      </w:tr>
      <w:tr w14:paraId="03C98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609" w:type="dxa"/>
            <w:vMerge w:val="continue"/>
            <w:tcBorders>
              <w:top w:val="nil"/>
            </w:tcBorders>
            <w:vAlign w:val="top"/>
          </w:tcPr>
          <w:p w14:paraId="5EAD2180">
            <w:pPr>
              <w:rPr>
                <w:rFonts w:ascii="Arial"/>
                <w:sz w:val="21"/>
              </w:rPr>
            </w:pPr>
          </w:p>
        </w:tc>
        <w:tc>
          <w:tcPr>
            <w:tcW w:w="4080" w:type="dxa"/>
            <w:gridSpan w:val="4"/>
            <w:vAlign w:val="top"/>
          </w:tcPr>
          <w:p w14:paraId="7FE61A8C">
            <w:pPr>
              <w:pStyle w:val="6"/>
              <w:spacing w:before="73" w:line="219" w:lineRule="auto"/>
              <w:ind w:left="167"/>
            </w:pPr>
            <w:r>
              <w:rPr>
                <w:spacing w:val="-1"/>
              </w:rPr>
              <w:t>1.保障差旅费、侦缉调查费、协助办案费、业务</w:t>
            </w:r>
          </w:p>
          <w:p w14:paraId="07E9BE1A">
            <w:pPr>
              <w:pStyle w:val="6"/>
              <w:spacing w:before="98" w:line="219" w:lineRule="auto"/>
              <w:ind w:right="13"/>
              <w:jc w:val="right"/>
            </w:pPr>
            <w:r>
              <w:rPr>
                <w:spacing w:val="-1"/>
              </w:rPr>
              <w:t>装备消耗费、业务租赁费、业务维修费、交通费、</w:t>
            </w:r>
          </w:p>
          <w:p w14:paraId="7D29C9E7">
            <w:pPr>
              <w:pStyle w:val="6"/>
              <w:spacing w:before="98" w:line="219" w:lineRule="auto"/>
              <w:ind w:left="1503"/>
            </w:pPr>
            <w:r>
              <w:rPr>
                <w:spacing w:val="-2"/>
              </w:rPr>
              <w:t>培训费等支出</w:t>
            </w:r>
          </w:p>
          <w:p w14:paraId="567027E0">
            <w:pPr>
              <w:pStyle w:val="6"/>
              <w:spacing w:before="98" w:line="219" w:lineRule="auto"/>
              <w:ind w:left="1056"/>
            </w:pPr>
            <w:r>
              <w:rPr>
                <w:spacing w:val="-1"/>
              </w:rPr>
              <w:t>2.加强法律监督等职能。</w:t>
            </w:r>
          </w:p>
          <w:p w14:paraId="3D2B0DA6">
            <w:pPr>
              <w:pStyle w:val="6"/>
              <w:spacing w:before="98" w:line="219" w:lineRule="auto"/>
              <w:ind w:left="157"/>
            </w:pPr>
            <w:r>
              <w:rPr>
                <w:spacing w:val="-1"/>
              </w:rPr>
              <w:t>3.增加年度案件办理数量、减短案件办理时限、</w:t>
            </w:r>
          </w:p>
        </w:tc>
        <w:tc>
          <w:tcPr>
            <w:tcW w:w="4229" w:type="dxa"/>
            <w:gridSpan w:val="4"/>
            <w:vAlign w:val="top"/>
          </w:tcPr>
          <w:p w14:paraId="1FDB3BE2">
            <w:pPr>
              <w:pStyle w:val="6"/>
              <w:spacing w:before="229" w:line="219" w:lineRule="auto"/>
              <w:ind w:left="206"/>
            </w:pPr>
            <w:r>
              <w:rPr>
                <w:spacing w:val="-5"/>
              </w:rPr>
              <w:t>2024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年度支出业务装备经费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36.00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万元，有效保障</w:t>
            </w:r>
          </w:p>
          <w:p w14:paraId="138C2537">
            <w:pPr>
              <w:pStyle w:val="6"/>
              <w:spacing w:before="98" w:line="219" w:lineRule="auto"/>
              <w:ind w:left="139"/>
            </w:pPr>
            <w:r>
              <w:rPr>
                <w:spacing w:val="-1"/>
              </w:rPr>
              <w:t>检察院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个部门的设备信息化业务需求、对老</w:t>
            </w:r>
            <w:r>
              <w:rPr>
                <w:spacing w:val="-2"/>
              </w:rPr>
              <w:t>旧电</w:t>
            </w:r>
          </w:p>
          <w:p w14:paraId="01A0E707">
            <w:pPr>
              <w:pStyle w:val="6"/>
              <w:spacing w:before="97" w:line="219" w:lineRule="auto"/>
              <w:ind w:left="138"/>
            </w:pPr>
            <w:r>
              <w:rPr>
                <w:spacing w:val="-1"/>
              </w:rPr>
              <w:t>脑、装订机进行更新换代等办公、办案设备购置升</w:t>
            </w:r>
          </w:p>
          <w:p w14:paraId="52D1DF57">
            <w:pPr>
              <w:pStyle w:val="6"/>
              <w:spacing w:before="99" w:line="219" w:lineRule="auto"/>
              <w:ind w:left="1671"/>
            </w:pPr>
            <w:r>
              <w:rPr>
                <w:spacing w:val="-2"/>
              </w:rPr>
              <w:t>级改造等。</w:t>
            </w:r>
          </w:p>
        </w:tc>
      </w:tr>
    </w:tbl>
    <w:p w14:paraId="1868E2AE">
      <w:pPr>
        <w:pStyle w:val="2"/>
      </w:pPr>
    </w:p>
    <w:p w14:paraId="56913964">
      <w:pPr>
        <w:sectPr>
          <w:footerReference r:id="rId27" w:type="default"/>
          <w:pgSz w:w="11906" w:h="16839"/>
          <w:pgMar w:top="1431" w:right="968" w:bottom="1091" w:left="1006" w:header="0" w:footer="929" w:gutter="0"/>
          <w:cols w:space="720" w:num="1"/>
        </w:sectPr>
      </w:pPr>
    </w:p>
    <w:p w14:paraId="463B4316">
      <w:pPr>
        <w:spacing w:before="92"/>
      </w:pPr>
    </w:p>
    <w:p w14:paraId="5BAE9BBA">
      <w:pPr>
        <w:spacing w:before="91"/>
      </w:pPr>
    </w:p>
    <w:tbl>
      <w:tblPr>
        <w:tblStyle w:val="5"/>
        <w:tblW w:w="9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600"/>
        <w:gridCol w:w="974"/>
        <w:gridCol w:w="1456"/>
        <w:gridCol w:w="718"/>
        <w:gridCol w:w="730"/>
        <w:gridCol w:w="202"/>
        <w:gridCol w:w="518"/>
        <w:gridCol w:w="845"/>
        <w:gridCol w:w="583"/>
        <w:gridCol w:w="585"/>
        <w:gridCol w:w="531"/>
        <w:gridCol w:w="1183"/>
      </w:tblGrid>
      <w:tr w14:paraId="29EF7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609" w:type="dxa"/>
            <w:gridSpan w:val="2"/>
            <w:vAlign w:val="top"/>
          </w:tcPr>
          <w:p w14:paraId="40845707">
            <w:pPr>
              <w:rPr>
                <w:rFonts w:ascii="Arial"/>
                <w:sz w:val="21"/>
              </w:rPr>
            </w:pPr>
          </w:p>
        </w:tc>
        <w:tc>
          <w:tcPr>
            <w:tcW w:w="4080" w:type="dxa"/>
            <w:gridSpan w:val="5"/>
            <w:vAlign w:val="top"/>
          </w:tcPr>
          <w:p w14:paraId="07B28494">
            <w:pPr>
              <w:pStyle w:val="6"/>
              <w:spacing w:before="71" w:line="219" w:lineRule="auto"/>
              <w:ind w:left="1054"/>
            </w:pPr>
            <w:r>
              <w:rPr>
                <w:spacing w:val="-1"/>
              </w:rPr>
              <w:t>提升案件当事人满意度。</w:t>
            </w:r>
          </w:p>
        </w:tc>
        <w:tc>
          <w:tcPr>
            <w:tcW w:w="4245" w:type="dxa"/>
            <w:gridSpan w:val="6"/>
            <w:vAlign w:val="top"/>
          </w:tcPr>
          <w:p w14:paraId="50CD2F77">
            <w:pPr>
              <w:rPr>
                <w:rFonts w:ascii="Arial"/>
                <w:sz w:val="21"/>
              </w:rPr>
            </w:pPr>
          </w:p>
        </w:tc>
      </w:tr>
      <w:tr w14:paraId="5B3B5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09" w:type="dxa"/>
            <w:vAlign w:val="top"/>
          </w:tcPr>
          <w:p w14:paraId="7E5C8ED9">
            <w:pPr>
              <w:spacing w:line="319" w:lineRule="auto"/>
              <w:rPr>
                <w:rFonts w:ascii="Arial"/>
                <w:sz w:val="21"/>
              </w:rPr>
            </w:pPr>
          </w:p>
          <w:p w14:paraId="449F7EDE">
            <w:pPr>
              <w:pStyle w:val="6"/>
              <w:spacing w:before="58" w:line="220" w:lineRule="auto"/>
              <w:ind w:left="150"/>
            </w:pPr>
            <w:r>
              <w:rPr>
                <w:spacing w:val="-3"/>
              </w:rPr>
              <w:t>绩效指标</w:t>
            </w:r>
          </w:p>
        </w:tc>
        <w:tc>
          <w:tcPr>
            <w:tcW w:w="600" w:type="dxa"/>
            <w:vAlign w:val="top"/>
          </w:tcPr>
          <w:p w14:paraId="0C37184D">
            <w:pPr>
              <w:pStyle w:val="6"/>
              <w:spacing w:before="224" w:line="322" w:lineRule="auto"/>
              <w:ind w:left="124" w:right="119"/>
            </w:pPr>
            <w:r>
              <w:rPr>
                <w:spacing w:val="-5"/>
              </w:rPr>
              <w:t>一级指标</w:t>
            </w:r>
          </w:p>
        </w:tc>
        <w:tc>
          <w:tcPr>
            <w:tcW w:w="974" w:type="dxa"/>
            <w:vAlign w:val="top"/>
          </w:tcPr>
          <w:p w14:paraId="62574E96">
            <w:pPr>
              <w:spacing w:line="319" w:lineRule="auto"/>
              <w:rPr>
                <w:rFonts w:ascii="Arial"/>
                <w:sz w:val="21"/>
              </w:rPr>
            </w:pPr>
          </w:p>
          <w:p w14:paraId="47996EA5">
            <w:pPr>
              <w:pStyle w:val="6"/>
              <w:spacing w:before="58" w:line="220" w:lineRule="auto"/>
              <w:ind w:left="132"/>
            </w:pPr>
            <w:r>
              <w:rPr>
                <w:spacing w:val="-3"/>
              </w:rPr>
              <w:t>二级指标</w:t>
            </w:r>
          </w:p>
        </w:tc>
        <w:tc>
          <w:tcPr>
            <w:tcW w:w="1456" w:type="dxa"/>
            <w:vAlign w:val="top"/>
          </w:tcPr>
          <w:p w14:paraId="385253E7">
            <w:pPr>
              <w:spacing w:line="319" w:lineRule="auto"/>
              <w:rPr>
                <w:rFonts w:ascii="Arial"/>
                <w:sz w:val="21"/>
              </w:rPr>
            </w:pPr>
          </w:p>
          <w:p w14:paraId="1EB10304">
            <w:pPr>
              <w:pStyle w:val="6"/>
              <w:spacing w:before="58" w:line="220" w:lineRule="auto"/>
              <w:ind w:left="372"/>
            </w:pPr>
            <w:r>
              <w:rPr>
                <w:spacing w:val="-2"/>
              </w:rPr>
              <w:t>三级指标</w:t>
            </w:r>
          </w:p>
        </w:tc>
        <w:tc>
          <w:tcPr>
            <w:tcW w:w="718" w:type="dxa"/>
            <w:vAlign w:val="top"/>
          </w:tcPr>
          <w:p w14:paraId="1FF2FB19">
            <w:pPr>
              <w:pStyle w:val="6"/>
              <w:spacing w:before="224" w:line="322" w:lineRule="auto"/>
              <w:ind w:left="186" w:right="176"/>
            </w:pPr>
            <w:r>
              <w:rPr>
                <w:spacing w:val="-5"/>
              </w:rPr>
              <w:t>指标性质</w:t>
            </w:r>
          </w:p>
        </w:tc>
        <w:tc>
          <w:tcPr>
            <w:tcW w:w="730" w:type="dxa"/>
            <w:vAlign w:val="top"/>
          </w:tcPr>
          <w:p w14:paraId="052F18E8">
            <w:pPr>
              <w:pStyle w:val="6"/>
              <w:spacing w:before="223" w:line="323" w:lineRule="auto"/>
              <w:ind w:left="191" w:right="181" w:firstLine="1"/>
            </w:pPr>
            <w:r>
              <w:rPr>
                <w:spacing w:val="-5"/>
              </w:rPr>
              <w:t>指标</w:t>
            </w:r>
            <w:r>
              <w:rPr>
                <w:spacing w:val="-4"/>
              </w:rPr>
              <w:t>方向</w:t>
            </w:r>
          </w:p>
        </w:tc>
        <w:tc>
          <w:tcPr>
            <w:tcW w:w="720" w:type="dxa"/>
            <w:gridSpan w:val="2"/>
            <w:vAlign w:val="top"/>
          </w:tcPr>
          <w:p w14:paraId="39315ACC">
            <w:pPr>
              <w:pStyle w:val="6"/>
              <w:spacing w:before="68" w:line="219" w:lineRule="auto"/>
              <w:ind w:left="186"/>
            </w:pPr>
            <w:r>
              <w:rPr>
                <w:spacing w:val="-4"/>
              </w:rPr>
              <w:t>年度</w:t>
            </w:r>
          </w:p>
          <w:p w14:paraId="4EB32043">
            <w:pPr>
              <w:pStyle w:val="6"/>
              <w:spacing w:before="97" w:line="283" w:lineRule="auto"/>
              <w:ind w:left="276" w:right="176" w:hanging="89"/>
            </w:pPr>
            <w:r>
              <w:rPr>
                <w:spacing w:val="-5"/>
              </w:rPr>
              <w:t>指标</w:t>
            </w:r>
            <w:r>
              <w:t>值</w:t>
            </w:r>
          </w:p>
        </w:tc>
        <w:tc>
          <w:tcPr>
            <w:tcW w:w="845" w:type="dxa"/>
            <w:vAlign w:val="top"/>
          </w:tcPr>
          <w:p w14:paraId="58EE3DCA">
            <w:pPr>
              <w:pStyle w:val="6"/>
              <w:spacing w:before="223" w:line="322" w:lineRule="auto"/>
              <w:ind w:left="248" w:right="147" w:hanging="85"/>
            </w:pPr>
            <w:r>
              <w:rPr>
                <w:spacing w:val="-4"/>
              </w:rPr>
              <w:t>实际完</w:t>
            </w:r>
            <w:r>
              <w:rPr>
                <w:spacing w:val="-5"/>
              </w:rPr>
              <w:t>成值</w:t>
            </w:r>
          </w:p>
        </w:tc>
        <w:tc>
          <w:tcPr>
            <w:tcW w:w="583" w:type="dxa"/>
            <w:vAlign w:val="top"/>
          </w:tcPr>
          <w:p w14:paraId="4E12275A">
            <w:pPr>
              <w:pStyle w:val="6"/>
              <w:spacing w:before="224" w:line="322" w:lineRule="auto"/>
              <w:ind w:left="119" w:right="106" w:hanging="1"/>
            </w:pPr>
            <w:r>
              <w:rPr>
                <w:spacing w:val="-4"/>
              </w:rPr>
              <w:t>计量</w:t>
            </w:r>
            <w:r>
              <w:rPr>
                <w:spacing w:val="-5"/>
              </w:rPr>
              <w:t>单位</w:t>
            </w:r>
          </w:p>
        </w:tc>
        <w:tc>
          <w:tcPr>
            <w:tcW w:w="585" w:type="dxa"/>
            <w:vAlign w:val="top"/>
          </w:tcPr>
          <w:p w14:paraId="2BE5A812">
            <w:pPr>
              <w:spacing w:line="319" w:lineRule="auto"/>
              <w:rPr>
                <w:rFonts w:ascii="Arial"/>
                <w:sz w:val="21"/>
              </w:rPr>
            </w:pPr>
          </w:p>
          <w:p w14:paraId="62E4A912">
            <w:pPr>
              <w:pStyle w:val="6"/>
              <w:spacing w:before="59" w:line="219" w:lineRule="auto"/>
              <w:ind w:left="120"/>
            </w:pPr>
            <w:r>
              <w:rPr>
                <w:spacing w:val="-5"/>
              </w:rPr>
              <w:t>分值</w:t>
            </w:r>
          </w:p>
        </w:tc>
        <w:tc>
          <w:tcPr>
            <w:tcW w:w="531" w:type="dxa"/>
            <w:textDirection w:val="tbRlV"/>
            <w:vAlign w:val="top"/>
          </w:tcPr>
          <w:p w14:paraId="08E2FD00">
            <w:pPr>
              <w:pStyle w:val="6"/>
              <w:spacing w:before="171" w:line="207" w:lineRule="auto"/>
              <w:ind w:left="223"/>
            </w:pPr>
            <w:r>
              <w:rPr>
                <w:spacing w:val="-1"/>
              </w:rPr>
              <w:t>得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  <w:tc>
          <w:tcPr>
            <w:tcW w:w="1183" w:type="dxa"/>
            <w:vAlign w:val="top"/>
          </w:tcPr>
          <w:p w14:paraId="0BCD93EC">
            <w:pPr>
              <w:pStyle w:val="6"/>
              <w:spacing w:before="68" w:line="219" w:lineRule="auto"/>
              <w:ind w:left="113"/>
            </w:pPr>
            <w:r>
              <w:rPr>
                <w:spacing w:val="-2"/>
              </w:rPr>
              <w:t>偏差原因分</w:t>
            </w:r>
          </w:p>
          <w:p w14:paraId="455DA211">
            <w:pPr>
              <w:pStyle w:val="6"/>
              <w:spacing w:before="97" w:line="283" w:lineRule="auto"/>
              <w:ind w:left="112" w:right="171" w:firstLine="2"/>
            </w:pPr>
            <w:r>
              <w:rPr>
                <w:spacing w:val="-2"/>
              </w:rPr>
              <w:t>析及改进措</w:t>
            </w:r>
            <w:r>
              <w:t>施</w:t>
            </w:r>
          </w:p>
        </w:tc>
      </w:tr>
      <w:tr w14:paraId="7B2BC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25EC8DF1">
            <w:pPr>
              <w:spacing w:line="245" w:lineRule="auto"/>
              <w:rPr>
                <w:rFonts w:ascii="Arial"/>
                <w:sz w:val="21"/>
              </w:rPr>
            </w:pPr>
          </w:p>
          <w:p w14:paraId="02566E7C">
            <w:pPr>
              <w:spacing w:line="245" w:lineRule="auto"/>
              <w:rPr>
                <w:rFonts w:ascii="Arial"/>
                <w:sz w:val="21"/>
              </w:rPr>
            </w:pPr>
          </w:p>
          <w:p w14:paraId="5B54F485">
            <w:pPr>
              <w:spacing w:line="245" w:lineRule="auto"/>
              <w:rPr>
                <w:rFonts w:ascii="Arial"/>
                <w:sz w:val="21"/>
              </w:rPr>
            </w:pPr>
          </w:p>
          <w:p w14:paraId="28E99AAE">
            <w:pPr>
              <w:spacing w:line="246" w:lineRule="auto"/>
              <w:rPr>
                <w:rFonts w:ascii="Arial"/>
                <w:sz w:val="21"/>
              </w:rPr>
            </w:pPr>
          </w:p>
          <w:p w14:paraId="25545F18">
            <w:pPr>
              <w:spacing w:line="246" w:lineRule="auto"/>
              <w:rPr>
                <w:rFonts w:ascii="Arial"/>
                <w:sz w:val="21"/>
              </w:rPr>
            </w:pPr>
          </w:p>
          <w:p w14:paraId="0F2BB457">
            <w:pPr>
              <w:spacing w:line="246" w:lineRule="auto"/>
              <w:rPr>
                <w:rFonts w:ascii="Arial"/>
                <w:sz w:val="21"/>
              </w:rPr>
            </w:pPr>
          </w:p>
          <w:p w14:paraId="73795A45">
            <w:pPr>
              <w:spacing w:line="246" w:lineRule="auto"/>
              <w:rPr>
                <w:rFonts w:ascii="Arial"/>
                <w:sz w:val="21"/>
              </w:rPr>
            </w:pPr>
          </w:p>
          <w:p w14:paraId="48DDCA0D">
            <w:pPr>
              <w:spacing w:line="246" w:lineRule="auto"/>
              <w:rPr>
                <w:rFonts w:ascii="Arial"/>
                <w:sz w:val="21"/>
              </w:rPr>
            </w:pPr>
          </w:p>
          <w:p w14:paraId="79BDDC70">
            <w:pPr>
              <w:spacing w:line="246" w:lineRule="auto"/>
              <w:rPr>
                <w:rFonts w:ascii="Arial"/>
                <w:sz w:val="21"/>
              </w:rPr>
            </w:pPr>
          </w:p>
          <w:p w14:paraId="416DB233">
            <w:pPr>
              <w:spacing w:line="246" w:lineRule="auto"/>
              <w:rPr>
                <w:rFonts w:ascii="Arial"/>
                <w:sz w:val="21"/>
              </w:rPr>
            </w:pPr>
          </w:p>
          <w:p w14:paraId="0EC75090">
            <w:pPr>
              <w:spacing w:line="246" w:lineRule="auto"/>
              <w:rPr>
                <w:rFonts w:ascii="Arial"/>
                <w:sz w:val="21"/>
              </w:rPr>
            </w:pPr>
          </w:p>
          <w:p w14:paraId="0B727A84">
            <w:pPr>
              <w:spacing w:line="246" w:lineRule="auto"/>
              <w:rPr>
                <w:rFonts w:ascii="Arial"/>
                <w:sz w:val="21"/>
              </w:rPr>
            </w:pPr>
          </w:p>
          <w:p w14:paraId="10DF119C">
            <w:pPr>
              <w:spacing w:line="246" w:lineRule="auto"/>
              <w:rPr>
                <w:rFonts w:ascii="Arial"/>
                <w:sz w:val="21"/>
              </w:rPr>
            </w:pPr>
          </w:p>
          <w:p w14:paraId="142BD7FA">
            <w:pPr>
              <w:spacing w:line="246" w:lineRule="auto"/>
              <w:rPr>
                <w:rFonts w:ascii="Arial"/>
                <w:sz w:val="21"/>
              </w:rPr>
            </w:pPr>
          </w:p>
          <w:p w14:paraId="1927C65C">
            <w:pPr>
              <w:spacing w:line="246" w:lineRule="auto"/>
              <w:rPr>
                <w:rFonts w:ascii="Arial"/>
                <w:sz w:val="21"/>
              </w:rPr>
            </w:pPr>
          </w:p>
          <w:p w14:paraId="5BDA22A8">
            <w:pPr>
              <w:spacing w:line="246" w:lineRule="auto"/>
              <w:rPr>
                <w:rFonts w:ascii="Arial"/>
                <w:sz w:val="21"/>
              </w:rPr>
            </w:pPr>
          </w:p>
          <w:p w14:paraId="7D2B8B5C">
            <w:pPr>
              <w:spacing w:line="246" w:lineRule="auto"/>
              <w:rPr>
                <w:rFonts w:ascii="Arial"/>
                <w:sz w:val="21"/>
              </w:rPr>
            </w:pPr>
          </w:p>
          <w:p w14:paraId="65CC63EC">
            <w:pPr>
              <w:spacing w:line="246" w:lineRule="auto"/>
              <w:rPr>
                <w:rFonts w:ascii="Arial"/>
                <w:sz w:val="21"/>
              </w:rPr>
            </w:pPr>
          </w:p>
          <w:p w14:paraId="4503096E">
            <w:pPr>
              <w:spacing w:line="246" w:lineRule="auto"/>
              <w:rPr>
                <w:rFonts w:ascii="Arial"/>
                <w:sz w:val="21"/>
              </w:rPr>
            </w:pPr>
          </w:p>
          <w:p w14:paraId="1805E91F">
            <w:pPr>
              <w:spacing w:line="246" w:lineRule="auto"/>
              <w:rPr>
                <w:rFonts w:ascii="Arial"/>
                <w:sz w:val="21"/>
              </w:rPr>
            </w:pPr>
          </w:p>
          <w:p w14:paraId="0AB8E0D2">
            <w:pPr>
              <w:pStyle w:val="6"/>
              <w:spacing w:before="59" w:line="220" w:lineRule="auto"/>
              <w:ind w:left="150"/>
            </w:pPr>
            <w:r>
              <w:rPr>
                <w:spacing w:val="-3"/>
              </w:rPr>
              <w:t>绩效指标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 w14:paraId="2F3165CA">
            <w:pPr>
              <w:spacing w:line="244" w:lineRule="auto"/>
              <w:rPr>
                <w:rFonts w:ascii="Arial"/>
                <w:sz w:val="21"/>
              </w:rPr>
            </w:pPr>
          </w:p>
          <w:p w14:paraId="117CC524">
            <w:pPr>
              <w:spacing w:line="245" w:lineRule="auto"/>
              <w:rPr>
                <w:rFonts w:ascii="Arial"/>
                <w:sz w:val="21"/>
              </w:rPr>
            </w:pPr>
          </w:p>
          <w:p w14:paraId="401A23EE">
            <w:pPr>
              <w:spacing w:line="245" w:lineRule="auto"/>
              <w:rPr>
                <w:rFonts w:ascii="Arial"/>
                <w:sz w:val="21"/>
              </w:rPr>
            </w:pPr>
          </w:p>
          <w:p w14:paraId="050CD449">
            <w:pPr>
              <w:spacing w:line="245" w:lineRule="auto"/>
              <w:rPr>
                <w:rFonts w:ascii="Arial"/>
                <w:sz w:val="21"/>
              </w:rPr>
            </w:pPr>
          </w:p>
          <w:p w14:paraId="560F7422">
            <w:pPr>
              <w:spacing w:line="245" w:lineRule="auto"/>
              <w:rPr>
                <w:rFonts w:ascii="Arial"/>
                <w:sz w:val="21"/>
              </w:rPr>
            </w:pPr>
          </w:p>
          <w:p w14:paraId="4AD1C029">
            <w:pPr>
              <w:spacing w:line="245" w:lineRule="auto"/>
              <w:rPr>
                <w:rFonts w:ascii="Arial"/>
                <w:sz w:val="21"/>
              </w:rPr>
            </w:pPr>
          </w:p>
          <w:p w14:paraId="44DD0600">
            <w:pPr>
              <w:spacing w:line="245" w:lineRule="auto"/>
              <w:rPr>
                <w:rFonts w:ascii="Arial"/>
                <w:sz w:val="21"/>
              </w:rPr>
            </w:pPr>
          </w:p>
          <w:p w14:paraId="2107B035">
            <w:pPr>
              <w:spacing w:line="245" w:lineRule="auto"/>
              <w:rPr>
                <w:rFonts w:ascii="Arial"/>
                <w:sz w:val="21"/>
              </w:rPr>
            </w:pPr>
          </w:p>
          <w:p w14:paraId="4F10DAA3">
            <w:pPr>
              <w:spacing w:line="245" w:lineRule="auto"/>
              <w:rPr>
                <w:rFonts w:ascii="Arial"/>
                <w:sz w:val="21"/>
              </w:rPr>
            </w:pPr>
          </w:p>
          <w:p w14:paraId="7946E219">
            <w:pPr>
              <w:spacing w:line="245" w:lineRule="auto"/>
              <w:rPr>
                <w:rFonts w:ascii="Arial"/>
                <w:sz w:val="21"/>
              </w:rPr>
            </w:pPr>
          </w:p>
          <w:p w14:paraId="15AB1E11">
            <w:pPr>
              <w:spacing w:line="245" w:lineRule="auto"/>
              <w:rPr>
                <w:rFonts w:ascii="Arial"/>
                <w:sz w:val="21"/>
              </w:rPr>
            </w:pPr>
          </w:p>
          <w:p w14:paraId="464E4E43">
            <w:pPr>
              <w:spacing w:line="245" w:lineRule="auto"/>
              <w:rPr>
                <w:rFonts w:ascii="Arial"/>
                <w:sz w:val="21"/>
              </w:rPr>
            </w:pPr>
          </w:p>
          <w:p w14:paraId="28ACBE3C">
            <w:pPr>
              <w:spacing w:line="245" w:lineRule="auto"/>
              <w:rPr>
                <w:rFonts w:ascii="Arial"/>
                <w:sz w:val="21"/>
              </w:rPr>
            </w:pPr>
          </w:p>
          <w:p w14:paraId="5D1CADEE">
            <w:pPr>
              <w:spacing w:line="245" w:lineRule="auto"/>
              <w:rPr>
                <w:rFonts w:ascii="Arial"/>
                <w:sz w:val="21"/>
              </w:rPr>
            </w:pPr>
          </w:p>
          <w:p w14:paraId="13B9E1FF">
            <w:pPr>
              <w:spacing w:line="245" w:lineRule="auto"/>
              <w:rPr>
                <w:rFonts w:ascii="Arial"/>
                <w:sz w:val="21"/>
              </w:rPr>
            </w:pPr>
          </w:p>
          <w:p w14:paraId="766786F4">
            <w:pPr>
              <w:spacing w:line="245" w:lineRule="auto"/>
              <w:rPr>
                <w:rFonts w:ascii="Arial"/>
                <w:sz w:val="21"/>
              </w:rPr>
            </w:pPr>
          </w:p>
          <w:p w14:paraId="3AAC4540">
            <w:pPr>
              <w:pStyle w:val="6"/>
              <w:spacing w:before="58" w:line="322" w:lineRule="auto"/>
              <w:ind w:left="124" w:right="119" w:hanging="2"/>
            </w:pPr>
            <w:r>
              <w:rPr>
                <w:spacing w:val="-4"/>
              </w:rPr>
              <w:t>产出</w:t>
            </w:r>
            <w:r>
              <w:rPr>
                <w:spacing w:val="-5"/>
              </w:rPr>
              <w:t>指标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6F6A44D3">
            <w:pPr>
              <w:spacing w:line="346" w:lineRule="auto"/>
              <w:rPr>
                <w:rFonts w:ascii="Arial"/>
                <w:sz w:val="21"/>
              </w:rPr>
            </w:pPr>
          </w:p>
          <w:p w14:paraId="755B811D">
            <w:pPr>
              <w:spacing w:line="347" w:lineRule="auto"/>
              <w:rPr>
                <w:rFonts w:ascii="Arial"/>
                <w:sz w:val="21"/>
              </w:rPr>
            </w:pPr>
          </w:p>
          <w:p w14:paraId="58D48260">
            <w:pPr>
              <w:pStyle w:val="6"/>
              <w:spacing w:before="59" w:line="219" w:lineRule="auto"/>
              <w:ind w:left="131"/>
            </w:pPr>
            <w:r>
              <w:rPr>
                <w:spacing w:val="-3"/>
              </w:rPr>
              <w:t>数量指标</w:t>
            </w:r>
          </w:p>
        </w:tc>
        <w:tc>
          <w:tcPr>
            <w:tcW w:w="1456" w:type="dxa"/>
            <w:vAlign w:val="top"/>
          </w:tcPr>
          <w:p w14:paraId="706635C6">
            <w:pPr>
              <w:pStyle w:val="6"/>
              <w:spacing w:before="175" w:line="322" w:lineRule="auto"/>
              <w:ind w:left="553" w:right="185" w:hanging="361"/>
            </w:pPr>
            <w:r>
              <w:rPr>
                <w:spacing w:val="-2"/>
              </w:rPr>
              <w:t>通用设备采购</w:t>
            </w:r>
            <w:r>
              <w:rPr>
                <w:spacing w:val="-5"/>
              </w:rPr>
              <w:t>数量</w:t>
            </w:r>
          </w:p>
        </w:tc>
        <w:tc>
          <w:tcPr>
            <w:tcW w:w="718" w:type="dxa"/>
            <w:vAlign w:val="top"/>
          </w:tcPr>
          <w:p w14:paraId="6F9BEBE1">
            <w:pPr>
              <w:spacing w:line="270" w:lineRule="auto"/>
              <w:rPr>
                <w:rFonts w:ascii="Arial"/>
                <w:sz w:val="21"/>
              </w:rPr>
            </w:pPr>
          </w:p>
          <w:p w14:paraId="034D0C2D">
            <w:pPr>
              <w:pStyle w:val="6"/>
              <w:spacing w:before="59" w:line="221" w:lineRule="auto"/>
              <w:ind w:left="187"/>
            </w:pPr>
            <w:r>
              <w:rPr>
                <w:spacing w:val="-6"/>
              </w:rPr>
              <w:t>正向</w:t>
            </w:r>
          </w:p>
        </w:tc>
        <w:tc>
          <w:tcPr>
            <w:tcW w:w="730" w:type="dxa"/>
            <w:vAlign w:val="top"/>
          </w:tcPr>
          <w:p w14:paraId="160EBA15">
            <w:pPr>
              <w:pStyle w:val="6"/>
              <w:spacing w:before="175" w:line="220" w:lineRule="auto"/>
              <w:ind w:left="192"/>
            </w:pPr>
            <w:r>
              <w:rPr>
                <w:spacing w:val="-5"/>
              </w:rPr>
              <w:t>大于</w:t>
            </w:r>
          </w:p>
          <w:p w14:paraId="2D5E54E3">
            <w:pPr>
              <w:pStyle w:val="6"/>
              <w:spacing w:before="97" w:line="219" w:lineRule="auto"/>
              <w:ind w:left="192"/>
            </w:pPr>
            <w:r>
              <w:rPr>
                <w:spacing w:val="-5"/>
              </w:rPr>
              <w:t>等于</w:t>
            </w:r>
          </w:p>
        </w:tc>
        <w:tc>
          <w:tcPr>
            <w:tcW w:w="720" w:type="dxa"/>
            <w:gridSpan w:val="2"/>
            <w:vAlign w:val="top"/>
          </w:tcPr>
          <w:p w14:paraId="447F02E8">
            <w:pPr>
              <w:spacing w:line="270" w:lineRule="auto"/>
              <w:rPr>
                <w:rFonts w:ascii="Arial"/>
                <w:sz w:val="21"/>
              </w:rPr>
            </w:pPr>
          </w:p>
          <w:p w14:paraId="44C27F4D">
            <w:pPr>
              <w:pStyle w:val="6"/>
              <w:spacing w:before="59"/>
              <w:ind w:left="290"/>
            </w:pPr>
            <w:r>
              <w:rPr>
                <w:spacing w:val="-10"/>
              </w:rPr>
              <w:t>10</w:t>
            </w:r>
          </w:p>
        </w:tc>
        <w:tc>
          <w:tcPr>
            <w:tcW w:w="845" w:type="dxa"/>
            <w:vAlign w:val="top"/>
          </w:tcPr>
          <w:p w14:paraId="3DDDB880">
            <w:pPr>
              <w:spacing w:line="271" w:lineRule="auto"/>
              <w:rPr>
                <w:rFonts w:ascii="Arial"/>
                <w:sz w:val="21"/>
              </w:rPr>
            </w:pPr>
          </w:p>
          <w:p w14:paraId="7658F50A">
            <w:pPr>
              <w:pStyle w:val="6"/>
              <w:spacing w:before="58" w:line="239" w:lineRule="auto"/>
              <w:ind w:left="208"/>
            </w:pPr>
            <w:r>
              <w:rPr>
                <w:spacing w:val="-2"/>
              </w:rPr>
              <w:t>33.00</w:t>
            </w:r>
          </w:p>
        </w:tc>
        <w:tc>
          <w:tcPr>
            <w:tcW w:w="583" w:type="dxa"/>
            <w:vAlign w:val="top"/>
          </w:tcPr>
          <w:p w14:paraId="3364E803">
            <w:pPr>
              <w:pStyle w:val="6"/>
              <w:spacing w:before="176" w:line="322" w:lineRule="auto"/>
              <w:ind w:left="207" w:right="137" w:hanging="75"/>
            </w:pPr>
            <w:r>
              <w:rPr>
                <w:spacing w:val="-27"/>
              </w:rPr>
              <w:t>台、</w:t>
            </w:r>
            <w:r>
              <w:t>套</w:t>
            </w:r>
          </w:p>
        </w:tc>
        <w:tc>
          <w:tcPr>
            <w:tcW w:w="585" w:type="dxa"/>
            <w:vAlign w:val="top"/>
          </w:tcPr>
          <w:p w14:paraId="4CDF082B">
            <w:pPr>
              <w:spacing w:line="270" w:lineRule="auto"/>
              <w:rPr>
                <w:rFonts w:ascii="Arial"/>
                <w:sz w:val="21"/>
              </w:rPr>
            </w:pPr>
          </w:p>
          <w:p w14:paraId="1DBCD069">
            <w:pPr>
              <w:pStyle w:val="6"/>
              <w:spacing w:before="59"/>
              <w:ind w:left="222"/>
            </w:pPr>
            <w:r>
              <w:rPr>
                <w:spacing w:val="-10"/>
              </w:rPr>
              <w:t>10</w:t>
            </w:r>
          </w:p>
        </w:tc>
        <w:tc>
          <w:tcPr>
            <w:tcW w:w="531" w:type="dxa"/>
            <w:vAlign w:val="top"/>
          </w:tcPr>
          <w:p w14:paraId="1E8AAC72">
            <w:pPr>
              <w:spacing w:line="270" w:lineRule="auto"/>
              <w:rPr>
                <w:rFonts w:ascii="Arial"/>
                <w:sz w:val="21"/>
              </w:rPr>
            </w:pPr>
          </w:p>
          <w:p w14:paraId="0EE29E0B">
            <w:pPr>
              <w:pStyle w:val="6"/>
              <w:spacing w:before="59"/>
              <w:ind w:left="194"/>
            </w:pPr>
            <w:r>
              <w:rPr>
                <w:spacing w:val="-10"/>
              </w:rPr>
              <w:t>10</w:t>
            </w:r>
          </w:p>
        </w:tc>
        <w:tc>
          <w:tcPr>
            <w:tcW w:w="1183" w:type="dxa"/>
            <w:vAlign w:val="top"/>
          </w:tcPr>
          <w:p w14:paraId="7B2DEBC5">
            <w:pPr>
              <w:rPr>
                <w:rFonts w:ascii="Arial"/>
                <w:sz w:val="21"/>
              </w:rPr>
            </w:pPr>
          </w:p>
        </w:tc>
      </w:tr>
      <w:tr w14:paraId="215CF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443E8362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 w14:paraId="55B1A18C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6DB7D1A5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095E517F">
            <w:pPr>
              <w:pStyle w:val="6"/>
              <w:spacing w:before="177" w:line="322" w:lineRule="auto"/>
              <w:ind w:left="554" w:right="185" w:hanging="360"/>
            </w:pPr>
            <w:r>
              <w:rPr>
                <w:spacing w:val="-2"/>
              </w:rPr>
              <w:t>经费保障部门</w:t>
            </w:r>
            <w:r>
              <w:rPr>
                <w:spacing w:val="-5"/>
              </w:rPr>
              <w:t>数量</w:t>
            </w:r>
          </w:p>
        </w:tc>
        <w:tc>
          <w:tcPr>
            <w:tcW w:w="718" w:type="dxa"/>
            <w:vAlign w:val="top"/>
          </w:tcPr>
          <w:p w14:paraId="3FF722A1">
            <w:pPr>
              <w:spacing w:line="272" w:lineRule="auto"/>
              <w:rPr>
                <w:rFonts w:ascii="Arial"/>
                <w:sz w:val="21"/>
              </w:rPr>
            </w:pPr>
          </w:p>
          <w:p w14:paraId="7422F963">
            <w:pPr>
              <w:pStyle w:val="6"/>
              <w:spacing w:before="59" w:line="221" w:lineRule="auto"/>
              <w:ind w:left="187"/>
            </w:pPr>
            <w:r>
              <w:rPr>
                <w:spacing w:val="-6"/>
              </w:rPr>
              <w:t>正向</w:t>
            </w:r>
          </w:p>
        </w:tc>
        <w:tc>
          <w:tcPr>
            <w:tcW w:w="730" w:type="dxa"/>
            <w:vAlign w:val="top"/>
          </w:tcPr>
          <w:p w14:paraId="20015A55">
            <w:pPr>
              <w:pStyle w:val="6"/>
              <w:spacing w:before="177" w:line="220" w:lineRule="auto"/>
              <w:ind w:left="192"/>
            </w:pPr>
            <w:r>
              <w:rPr>
                <w:spacing w:val="-5"/>
              </w:rPr>
              <w:t>大于</w:t>
            </w:r>
          </w:p>
          <w:p w14:paraId="2B6CEBFE">
            <w:pPr>
              <w:pStyle w:val="6"/>
              <w:spacing w:before="97" w:line="219" w:lineRule="auto"/>
              <w:ind w:left="192"/>
            </w:pPr>
            <w:r>
              <w:rPr>
                <w:spacing w:val="-5"/>
              </w:rPr>
              <w:t>等于</w:t>
            </w:r>
          </w:p>
        </w:tc>
        <w:tc>
          <w:tcPr>
            <w:tcW w:w="720" w:type="dxa"/>
            <w:gridSpan w:val="2"/>
            <w:vAlign w:val="top"/>
          </w:tcPr>
          <w:p w14:paraId="3B439152">
            <w:pPr>
              <w:spacing w:line="272" w:lineRule="auto"/>
              <w:rPr>
                <w:rFonts w:ascii="Arial"/>
                <w:sz w:val="21"/>
              </w:rPr>
            </w:pPr>
          </w:p>
          <w:p w14:paraId="53C7945C">
            <w:pPr>
              <w:pStyle w:val="6"/>
              <w:spacing w:before="59"/>
              <w:ind w:left="321"/>
            </w:pPr>
            <w:r>
              <w:t>6</w:t>
            </w:r>
          </w:p>
        </w:tc>
        <w:tc>
          <w:tcPr>
            <w:tcW w:w="845" w:type="dxa"/>
            <w:vAlign w:val="top"/>
          </w:tcPr>
          <w:p w14:paraId="0454A120">
            <w:pPr>
              <w:spacing w:line="273" w:lineRule="auto"/>
              <w:rPr>
                <w:rFonts w:ascii="Arial"/>
                <w:sz w:val="21"/>
              </w:rPr>
            </w:pPr>
          </w:p>
          <w:p w14:paraId="1593C9CA">
            <w:pPr>
              <w:pStyle w:val="6"/>
              <w:spacing w:before="58" w:line="239" w:lineRule="auto"/>
              <w:ind w:left="249"/>
            </w:pPr>
            <w:r>
              <w:rPr>
                <w:spacing w:val="-2"/>
              </w:rPr>
              <w:t>6.00</w:t>
            </w:r>
          </w:p>
        </w:tc>
        <w:tc>
          <w:tcPr>
            <w:tcW w:w="583" w:type="dxa"/>
            <w:vAlign w:val="top"/>
          </w:tcPr>
          <w:p w14:paraId="712BEDD9">
            <w:pPr>
              <w:spacing w:line="273" w:lineRule="auto"/>
              <w:rPr>
                <w:rFonts w:ascii="Arial"/>
                <w:sz w:val="21"/>
              </w:rPr>
            </w:pPr>
          </w:p>
          <w:p w14:paraId="2FD4EAD3">
            <w:pPr>
              <w:pStyle w:val="6"/>
              <w:spacing w:before="59" w:line="219" w:lineRule="auto"/>
              <w:ind w:left="207"/>
            </w:pPr>
            <w:r>
              <w:t>个</w:t>
            </w:r>
          </w:p>
        </w:tc>
        <w:tc>
          <w:tcPr>
            <w:tcW w:w="585" w:type="dxa"/>
            <w:vAlign w:val="top"/>
          </w:tcPr>
          <w:p w14:paraId="744920DA">
            <w:pPr>
              <w:spacing w:line="272" w:lineRule="auto"/>
              <w:rPr>
                <w:rFonts w:ascii="Arial"/>
                <w:sz w:val="21"/>
              </w:rPr>
            </w:pPr>
          </w:p>
          <w:p w14:paraId="5F504024">
            <w:pPr>
              <w:pStyle w:val="6"/>
              <w:spacing w:before="59"/>
              <w:ind w:left="256"/>
            </w:pPr>
            <w:r>
              <w:t>5</w:t>
            </w:r>
          </w:p>
        </w:tc>
        <w:tc>
          <w:tcPr>
            <w:tcW w:w="531" w:type="dxa"/>
            <w:vAlign w:val="top"/>
          </w:tcPr>
          <w:p w14:paraId="5D877DFA">
            <w:pPr>
              <w:spacing w:line="272" w:lineRule="auto"/>
              <w:rPr>
                <w:rFonts w:ascii="Arial"/>
                <w:sz w:val="21"/>
              </w:rPr>
            </w:pPr>
          </w:p>
          <w:p w14:paraId="5C4B5AB5">
            <w:pPr>
              <w:pStyle w:val="6"/>
              <w:spacing w:before="59"/>
              <w:ind w:left="230"/>
            </w:pPr>
            <w:r>
              <w:t>5</w:t>
            </w:r>
          </w:p>
        </w:tc>
        <w:tc>
          <w:tcPr>
            <w:tcW w:w="1183" w:type="dxa"/>
            <w:vAlign w:val="top"/>
          </w:tcPr>
          <w:p w14:paraId="60C35C47">
            <w:pPr>
              <w:rPr>
                <w:rFonts w:ascii="Arial"/>
                <w:sz w:val="21"/>
              </w:rPr>
            </w:pPr>
          </w:p>
        </w:tc>
      </w:tr>
      <w:tr w14:paraId="05B37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D4FC7BB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 w14:paraId="6E5E39D3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3ACAA3EB">
            <w:pPr>
              <w:spacing w:line="279" w:lineRule="auto"/>
              <w:rPr>
                <w:rFonts w:ascii="Arial"/>
                <w:sz w:val="21"/>
              </w:rPr>
            </w:pPr>
          </w:p>
          <w:p w14:paraId="37C094A9">
            <w:pPr>
              <w:spacing w:line="279" w:lineRule="auto"/>
              <w:rPr>
                <w:rFonts w:ascii="Arial"/>
                <w:sz w:val="21"/>
              </w:rPr>
            </w:pPr>
          </w:p>
          <w:p w14:paraId="363721DC">
            <w:pPr>
              <w:spacing w:line="279" w:lineRule="auto"/>
              <w:rPr>
                <w:rFonts w:ascii="Arial"/>
                <w:sz w:val="21"/>
              </w:rPr>
            </w:pPr>
          </w:p>
          <w:p w14:paraId="610EF983">
            <w:pPr>
              <w:spacing w:line="280" w:lineRule="auto"/>
              <w:rPr>
                <w:rFonts w:ascii="Arial"/>
                <w:sz w:val="21"/>
              </w:rPr>
            </w:pPr>
          </w:p>
          <w:p w14:paraId="787A75BF">
            <w:pPr>
              <w:pStyle w:val="6"/>
              <w:spacing w:before="58" w:line="220" w:lineRule="auto"/>
              <w:ind w:left="130"/>
            </w:pPr>
            <w:r>
              <w:rPr>
                <w:spacing w:val="-2"/>
              </w:rPr>
              <w:t>质量指标</w:t>
            </w:r>
          </w:p>
        </w:tc>
        <w:tc>
          <w:tcPr>
            <w:tcW w:w="1456" w:type="dxa"/>
            <w:vAlign w:val="top"/>
          </w:tcPr>
          <w:p w14:paraId="42CAF806">
            <w:pPr>
              <w:spacing w:line="273" w:lineRule="auto"/>
              <w:rPr>
                <w:rFonts w:ascii="Arial"/>
                <w:sz w:val="21"/>
              </w:rPr>
            </w:pPr>
          </w:p>
          <w:p w14:paraId="575906F7">
            <w:pPr>
              <w:pStyle w:val="6"/>
              <w:spacing w:before="58" w:line="219" w:lineRule="auto"/>
              <w:ind w:left="284"/>
            </w:pPr>
            <w:r>
              <w:rPr>
                <w:spacing w:val="-2"/>
              </w:rPr>
              <w:t>设备利用率</w:t>
            </w:r>
          </w:p>
        </w:tc>
        <w:tc>
          <w:tcPr>
            <w:tcW w:w="718" w:type="dxa"/>
            <w:vAlign w:val="top"/>
          </w:tcPr>
          <w:p w14:paraId="3306B06E">
            <w:pPr>
              <w:spacing w:line="272" w:lineRule="auto"/>
              <w:rPr>
                <w:rFonts w:ascii="Arial"/>
                <w:sz w:val="21"/>
              </w:rPr>
            </w:pPr>
          </w:p>
          <w:p w14:paraId="3ADA44D6">
            <w:pPr>
              <w:pStyle w:val="6"/>
              <w:spacing w:before="59" w:line="221" w:lineRule="auto"/>
              <w:ind w:left="187"/>
            </w:pPr>
            <w:r>
              <w:rPr>
                <w:spacing w:val="-6"/>
              </w:rPr>
              <w:t>正向</w:t>
            </w:r>
          </w:p>
        </w:tc>
        <w:tc>
          <w:tcPr>
            <w:tcW w:w="730" w:type="dxa"/>
            <w:vAlign w:val="top"/>
          </w:tcPr>
          <w:p w14:paraId="545B1E68">
            <w:pPr>
              <w:spacing w:line="273" w:lineRule="auto"/>
              <w:rPr>
                <w:rFonts w:ascii="Arial"/>
                <w:sz w:val="21"/>
              </w:rPr>
            </w:pPr>
          </w:p>
          <w:p w14:paraId="39C0723E">
            <w:pPr>
              <w:pStyle w:val="6"/>
              <w:spacing w:before="58" w:line="219" w:lineRule="auto"/>
              <w:ind w:left="192"/>
            </w:pPr>
            <w:r>
              <w:rPr>
                <w:spacing w:val="-5"/>
              </w:rPr>
              <w:t>等于</w:t>
            </w:r>
          </w:p>
        </w:tc>
        <w:tc>
          <w:tcPr>
            <w:tcW w:w="720" w:type="dxa"/>
            <w:gridSpan w:val="2"/>
            <w:vAlign w:val="top"/>
          </w:tcPr>
          <w:p w14:paraId="40344CC4">
            <w:pPr>
              <w:spacing w:line="272" w:lineRule="auto"/>
              <w:rPr>
                <w:rFonts w:ascii="Arial"/>
                <w:sz w:val="21"/>
              </w:rPr>
            </w:pPr>
          </w:p>
          <w:p w14:paraId="3320C440">
            <w:pPr>
              <w:pStyle w:val="6"/>
              <w:spacing w:before="58"/>
              <w:ind w:left="244"/>
            </w:pPr>
            <w:r>
              <w:rPr>
                <w:spacing w:val="-7"/>
              </w:rPr>
              <w:t>100</w:t>
            </w:r>
          </w:p>
        </w:tc>
        <w:tc>
          <w:tcPr>
            <w:tcW w:w="845" w:type="dxa"/>
            <w:vAlign w:val="top"/>
          </w:tcPr>
          <w:p w14:paraId="109A21BB">
            <w:pPr>
              <w:spacing w:line="272" w:lineRule="auto"/>
              <w:rPr>
                <w:rFonts w:ascii="Arial"/>
                <w:sz w:val="21"/>
              </w:rPr>
            </w:pPr>
          </w:p>
          <w:p w14:paraId="15C1413D">
            <w:pPr>
              <w:pStyle w:val="6"/>
              <w:spacing w:before="59" w:line="239" w:lineRule="auto"/>
              <w:ind w:left="172"/>
            </w:pPr>
            <w:r>
              <w:rPr>
                <w:spacing w:val="-4"/>
              </w:rPr>
              <w:t>100.00</w:t>
            </w:r>
          </w:p>
        </w:tc>
        <w:tc>
          <w:tcPr>
            <w:tcW w:w="583" w:type="dxa"/>
            <w:vAlign w:val="top"/>
          </w:tcPr>
          <w:p w14:paraId="33974413">
            <w:pPr>
              <w:spacing w:line="272" w:lineRule="auto"/>
              <w:rPr>
                <w:rFonts w:ascii="Arial"/>
                <w:sz w:val="21"/>
              </w:rPr>
            </w:pPr>
          </w:p>
          <w:p w14:paraId="781266DA">
            <w:pPr>
              <w:pStyle w:val="6"/>
              <w:spacing w:before="58"/>
              <w:ind w:left="247"/>
            </w:pPr>
            <w:r>
              <w:t>%</w:t>
            </w:r>
          </w:p>
        </w:tc>
        <w:tc>
          <w:tcPr>
            <w:tcW w:w="585" w:type="dxa"/>
            <w:vAlign w:val="top"/>
          </w:tcPr>
          <w:p w14:paraId="096B5D8E">
            <w:pPr>
              <w:spacing w:line="272" w:lineRule="auto"/>
              <w:rPr>
                <w:rFonts w:ascii="Arial"/>
                <w:sz w:val="21"/>
              </w:rPr>
            </w:pPr>
          </w:p>
          <w:p w14:paraId="71AFAC49">
            <w:pPr>
              <w:pStyle w:val="6"/>
              <w:spacing w:before="58"/>
              <w:ind w:left="256"/>
            </w:pPr>
            <w:r>
              <w:t>5</w:t>
            </w:r>
          </w:p>
        </w:tc>
        <w:tc>
          <w:tcPr>
            <w:tcW w:w="531" w:type="dxa"/>
            <w:vAlign w:val="top"/>
          </w:tcPr>
          <w:p w14:paraId="3A587834">
            <w:pPr>
              <w:spacing w:line="272" w:lineRule="auto"/>
              <w:rPr>
                <w:rFonts w:ascii="Arial"/>
                <w:sz w:val="21"/>
              </w:rPr>
            </w:pPr>
          </w:p>
          <w:p w14:paraId="71BAAAAB">
            <w:pPr>
              <w:pStyle w:val="6"/>
              <w:spacing w:before="58"/>
              <w:ind w:left="230"/>
            </w:pPr>
            <w:r>
              <w:t>5</w:t>
            </w:r>
          </w:p>
        </w:tc>
        <w:tc>
          <w:tcPr>
            <w:tcW w:w="1183" w:type="dxa"/>
            <w:vAlign w:val="top"/>
          </w:tcPr>
          <w:p w14:paraId="7AF7E196">
            <w:pPr>
              <w:rPr>
                <w:rFonts w:ascii="Arial"/>
                <w:sz w:val="21"/>
              </w:rPr>
            </w:pPr>
          </w:p>
        </w:tc>
      </w:tr>
      <w:tr w14:paraId="75C61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11F9E594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 w14:paraId="3769096C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562159B1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4F2F9BC6">
            <w:pPr>
              <w:pStyle w:val="6"/>
              <w:spacing w:before="176" w:line="322" w:lineRule="auto"/>
              <w:ind w:left="642" w:right="185" w:hanging="447"/>
            </w:pPr>
            <w:r>
              <w:rPr>
                <w:spacing w:val="-2"/>
              </w:rPr>
              <w:t>设备验收合格</w:t>
            </w:r>
            <w:r>
              <w:t>率</w:t>
            </w:r>
          </w:p>
        </w:tc>
        <w:tc>
          <w:tcPr>
            <w:tcW w:w="718" w:type="dxa"/>
            <w:vAlign w:val="top"/>
          </w:tcPr>
          <w:p w14:paraId="212A4293">
            <w:pPr>
              <w:spacing w:line="272" w:lineRule="auto"/>
              <w:rPr>
                <w:rFonts w:ascii="Arial"/>
                <w:sz w:val="21"/>
              </w:rPr>
            </w:pPr>
          </w:p>
          <w:p w14:paraId="2A077110">
            <w:pPr>
              <w:pStyle w:val="6"/>
              <w:spacing w:before="58" w:line="221" w:lineRule="auto"/>
              <w:ind w:left="187"/>
            </w:pPr>
            <w:r>
              <w:rPr>
                <w:spacing w:val="-6"/>
              </w:rPr>
              <w:t>正向</w:t>
            </w:r>
          </w:p>
        </w:tc>
        <w:tc>
          <w:tcPr>
            <w:tcW w:w="730" w:type="dxa"/>
            <w:vAlign w:val="top"/>
          </w:tcPr>
          <w:p w14:paraId="72C54042">
            <w:pPr>
              <w:spacing w:line="272" w:lineRule="auto"/>
              <w:rPr>
                <w:rFonts w:ascii="Arial"/>
                <w:sz w:val="21"/>
              </w:rPr>
            </w:pPr>
          </w:p>
          <w:p w14:paraId="09283AC5">
            <w:pPr>
              <w:pStyle w:val="6"/>
              <w:spacing w:before="59" w:line="219" w:lineRule="auto"/>
              <w:ind w:left="192"/>
            </w:pPr>
            <w:r>
              <w:rPr>
                <w:spacing w:val="-5"/>
              </w:rPr>
              <w:t>等于</w:t>
            </w:r>
          </w:p>
        </w:tc>
        <w:tc>
          <w:tcPr>
            <w:tcW w:w="720" w:type="dxa"/>
            <w:gridSpan w:val="2"/>
            <w:vAlign w:val="top"/>
          </w:tcPr>
          <w:p w14:paraId="043D340A">
            <w:pPr>
              <w:spacing w:line="271" w:lineRule="auto"/>
              <w:rPr>
                <w:rFonts w:ascii="Arial"/>
                <w:sz w:val="21"/>
              </w:rPr>
            </w:pPr>
          </w:p>
          <w:p w14:paraId="59BA195A">
            <w:pPr>
              <w:pStyle w:val="6"/>
              <w:spacing w:before="59"/>
              <w:ind w:left="244"/>
            </w:pPr>
            <w:r>
              <w:rPr>
                <w:spacing w:val="-7"/>
              </w:rPr>
              <w:t>100</w:t>
            </w:r>
          </w:p>
        </w:tc>
        <w:tc>
          <w:tcPr>
            <w:tcW w:w="845" w:type="dxa"/>
            <w:vAlign w:val="top"/>
          </w:tcPr>
          <w:p w14:paraId="0D10B063">
            <w:pPr>
              <w:spacing w:line="272" w:lineRule="auto"/>
              <w:rPr>
                <w:rFonts w:ascii="Arial"/>
                <w:sz w:val="21"/>
              </w:rPr>
            </w:pPr>
          </w:p>
          <w:p w14:paraId="66A82C6D">
            <w:pPr>
              <w:pStyle w:val="6"/>
              <w:spacing w:before="58" w:line="239" w:lineRule="auto"/>
              <w:ind w:left="172"/>
            </w:pPr>
            <w:r>
              <w:rPr>
                <w:spacing w:val="-4"/>
              </w:rPr>
              <w:t>100.00</w:t>
            </w:r>
          </w:p>
        </w:tc>
        <w:tc>
          <w:tcPr>
            <w:tcW w:w="583" w:type="dxa"/>
            <w:vAlign w:val="top"/>
          </w:tcPr>
          <w:p w14:paraId="4BC4B2B5">
            <w:pPr>
              <w:spacing w:line="271" w:lineRule="auto"/>
              <w:rPr>
                <w:rFonts w:ascii="Arial"/>
                <w:sz w:val="21"/>
              </w:rPr>
            </w:pPr>
          </w:p>
          <w:p w14:paraId="19FFE52D">
            <w:pPr>
              <w:pStyle w:val="6"/>
              <w:spacing w:before="59"/>
              <w:ind w:left="247"/>
            </w:pPr>
            <w:r>
              <w:t>%</w:t>
            </w:r>
          </w:p>
        </w:tc>
        <w:tc>
          <w:tcPr>
            <w:tcW w:w="585" w:type="dxa"/>
            <w:vAlign w:val="top"/>
          </w:tcPr>
          <w:p w14:paraId="0486F6CA">
            <w:pPr>
              <w:spacing w:line="271" w:lineRule="auto"/>
              <w:rPr>
                <w:rFonts w:ascii="Arial"/>
                <w:sz w:val="21"/>
              </w:rPr>
            </w:pPr>
          </w:p>
          <w:p w14:paraId="3B45C30E">
            <w:pPr>
              <w:pStyle w:val="6"/>
              <w:spacing w:before="59"/>
              <w:ind w:left="256"/>
            </w:pPr>
            <w:r>
              <w:t>5</w:t>
            </w:r>
          </w:p>
        </w:tc>
        <w:tc>
          <w:tcPr>
            <w:tcW w:w="531" w:type="dxa"/>
            <w:vAlign w:val="top"/>
          </w:tcPr>
          <w:p w14:paraId="4CA006F7">
            <w:pPr>
              <w:spacing w:line="271" w:lineRule="auto"/>
              <w:rPr>
                <w:rFonts w:ascii="Arial"/>
                <w:sz w:val="21"/>
              </w:rPr>
            </w:pPr>
          </w:p>
          <w:p w14:paraId="02B0DE6F">
            <w:pPr>
              <w:pStyle w:val="6"/>
              <w:spacing w:before="59"/>
              <w:ind w:left="230"/>
            </w:pPr>
            <w:r>
              <w:t>5</w:t>
            </w:r>
          </w:p>
        </w:tc>
        <w:tc>
          <w:tcPr>
            <w:tcW w:w="1183" w:type="dxa"/>
            <w:vAlign w:val="top"/>
          </w:tcPr>
          <w:p w14:paraId="217D7DD0">
            <w:pPr>
              <w:rPr>
                <w:rFonts w:ascii="Arial"/>
                <w:sz w:val="21"/>
              </w:rPr>
            </w:pPr>
          </w:p>
        </w:tc>
      </w:tr>
      <w:tr w14:paraId="1BD9B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2C2B3F2E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 w14:paraId="7B3487B0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46A7D76D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26C16CC1">
            <w:pPr>
              <w:spacing w:line="272" w:lineRule="auto"/>
              <w:rPr>
                <w:rFonts w:ascii="Arial"/>
                <w:sz w:val="21"/>
              </w:rPr>
            </w:pPr>
          </w:p>
          <w:p w14:paraId="7F5F9E2F">
            <w:pPr>
              <w:pStyle w:val="6"/>
              <w:spacing w:before="58" w:line="219" w:lineRule="auto"/>
              <w:ind w:left="284"/>
            </w:pPr>
            <w:r>
              <w:rPr>
                <w:spacing w:val="-2"/>
              </w:rPr>
              <w:t>设备故障率</w:t>
            </w:r>
          </w:p>
        </w:tc>
        <w:tc>
          <w:tcPr>
            <w:tcW w:w="718" w:type="dxa"/>
            <w:vAlign w:val="top"/>
          </w:tcPr>
          <w:p w14:paraId="536283BF">
            <w:pPr>
              <w:spacing w:line="271" w:lineRule="auto"/>
              <w:rPr>
                <w:rFonts w:ascii="Arial"/>
                <w:sz w:val="21"/>
              </w:rPr>
            </w:pPr>
          </w:p>
          <w:p w14:paraId="2B7608A6">
            <w:pPr>
              <w:pStyle w:val="6"/>
              <w:spacing w:before="59" w:line="221" w:lineRule="auto"/>
              <w:ind w:left="184"/>
            </w:pPr>
            <w:r>
              <w:rPr>
                <w:spacing w:val="-4"/>
              </w:rPr>
              <w:t>反向</w:t>
            </w:r>
          </w:p>
        </w:tc>
        <w:tc>
          <w:tcPr>
            <w:tcW w:w="730" w:type="dxa"/>
            <w:vAlign w:val="top"/>
          </w:tcPr>
          <w:p w14:paraId="1FD020C8">
            <w:pPr>
              <w:pStyle w:val="6"/>
              <w:spacing w:before="176" w:line="221" w:lineRule="auto"/>
              <w:ind w:left="195"/>
            </w:pPr>
            <w:r>
              <w:rPr>
                <w:spacing w:val="-6"/>
              </w:rPr>
              <w:t>小于</w:t>
            </w:r>
          </w:p>
          <w:p w14:paraId="685CAF24">
            <w:pPr>
              <w:pStyle w:val="6"/>
              <w:spacing w:before="96" w:line="219" w:lineRule="auto"/>
              <w:ind w:left="192"/>
            </w:pPr>
            <w:r>
              <w:rPr>
                <w:spacing w:val="-5"/>
              </w:rPr>
              <w:t>等于</w:t>
            </w:r>
          </w:p>
        </w:tc>
        <w:tc>
          <w:tcPr>
            <w:tcW w:w="720" w:type="dxa"/>
            <w:gridSpan w:val="2"/>
            <w:vAlign w:val="top"/>
          </w:tcPr>
          <w:p w14:paraId="670853F1">
            <w:pPr>
              <w:spacing w:line="271" w:lineRule="auto"/>
              <w:rPr>
                <w:rFonts w:ascii="Arial"/>
                <w:sz w:val="21"/>
              </w:rPr>
            </w:pPr>
          </w:p>
          <w:p w14:paraId="6F4C7B3B">
            <w:pPr>
              <w:pStyle w:val="6"/>
              <w:spacing w:before="59"/>
              <w:ind w:left="290"/>
            </w:pPr>
            <w:r>
              <w:rPr>
                <w:spacing w:val="-10"/>
              </w:rPr>
              <w:t>10</w:t>
            </w:r>
          </w:p>
        </w:tc>
        <w:tc>
          <w:tcPr>
            <w:tcW w:w="845" w:type="dxa"/>
            <w:vAlign w:val="top"/>
          </w:tcPr>
          <w:p w14:paraId="001FBB45">
            <w:pPr>
              <w:spacing w:line="271" w:lineRule="auto"/>
              <w:rPr>
                <w:rFonts w:ascii="Arial"/>
                <w:sz w:val="21"/>
              </w:rPr>
            </w:pPr>
          </w:p>
          <w:p w14:paraId="0C019C74">
            <w:pPr>
              <w:pStyle w:val="6"/>
              <w:spacing w:before="59"/>
              <w:ind w:left="386"/>
            </w:pPr>
            <w:r>
              <w:t>0</w:t>
            </w:r>
          </w:p>
        </w:tc>
        <w:tc>
          <w:tcPr>
            <w:tcW w:w="583" w:type="dxa"/>
            <w:vAlign w:val="top"/>
          </w:tcPr>
          <w:p w14:paraId="219EE035">
            <w:pPr>
              <w:spacing w:line="271" w:lineRule="auto"/>
              <w:rPr>
                <w:rFonts w:ascii="Arial"/>
                <w:sz w:val="21"/>
              </w:rPr>
            </w:pPr>
          </w:p>
          <w:p w14:paraId="75C2B497">
            <w:pPr>
              <w:pStyle w:val="6"/>
              <w:spacing w:before="59"/>
              <w:ind w:left="247"/>
            </w:pPr>
            <w:r>
              <w:t>%</w:t>
            </w:r>
          </w:p>
        </w:tc>
        <w:tc>
          <w:tcPr>
            <w:tcW w:w="585" w:type="dxa"/>
            <w:vAlign w:val="top"/>
          </w:tcPr>
          <w:p w14:paraId="295A870E">
            <w:pPr>
              <w:spacing w:line="271" w:lineRule="auto"/>
              <w:rPr>
                <w:rFonts w:ascii="Arial"/>
                <w:sz w:val="21"/>
              </w:rPr>
            </w:pPr>
          </w:p>
          <w:p w14:paraId="73EC2CDA">
            <w:pPr>
              <w:pStyle w:val="6"/>
              <w:spacing w:before="59"/>
              <w:ind w:left="256"/>
            </w:pPr>
            <w:r>
              <w:t>5</w:t>
            </w:r>
          </w:p>
        </w:tc>
        <w:tc>
          <w:tcPr>
            <w:tcW w:w="531" w:type="dxa"/>
            <w:vAlign w:val="top"/>
          </w:tcPr>
          <w:p w14:paraId="30E76990">
            <w:pPr>
              <w:spacing w:line="271" w:lineRule="auto"/>
              <w:rPr>
                <w:rFonts w:ascii="Arial"/>
                <w:sz w:val="21"/>
              </w:rPr>
            </w:pPr>
          </w:p>
          <w:p w14:paraId="477187D6">
            <w:pPr>
              <w:pStyle w:val="6"/>
              <w:spacing w:before="59"/>
              <w:ind w:left="230"/>
            </w:pPr>
            <w:r>
              <w:t>5</w:t>
            </w:r>
          </w:p>
        </w:tc>
        <w:tc>
          <w:tcPr>
            <w:tcW w:w="1183" w:type="dxa"/>
            <w:vAlign w:val="top"/>
          </w:tcPr>
          <w:p w14:paraId="024B53D8">
            <w:pPr>
              <w:rPr>
                <w:rFonts w:ascii="Arial"/>
                <w:sz w:val="21"/>
              </w:rPr>
            </w:pPr>
          </w:p>
        </w:tc>
      </w:tr>
      <w:tr w14:paraId="4A98C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06A2F6EB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 w14:paraId="0480D149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5F7E5379">
            <w:pPr>
              <w:spacing w:line="346" w:lineRule="auto"/>
              <w:rPr>
                <w:rFonts w:ascii="Arial"/>
                <w:sz w:val="21"/>
              </w:rPr>
            </w:pPr>
          </w:p>
          <w:p w14:paraId="52CD891F">
            <w:pPr>
              <w:spacing w:line="347" w:lineRule="auto"/>
              <w:rPr>
                <w:rFonts w:ascii="Arial"/>
                <w:sz w:val="21"/>
              </w:rPr>
            </w:pPr>
          </w:p>
          <w:p w14:paraId="07ADC38E">
            <w:pPr>
              <w:pStyle w:val="6"/>
              <w:spacing w:before="59" w:line="220" w:lineRule="auto"/>
              <w:ind w:left="138"/>
            </w:pPr>
            <w:r>
              <w:rPr>
                <w:spacing w:val="-4"/>
              </w:rPr>
              <w:t>时效指标</w:t>
            </w:r>
          </w:p>
        </w:tc>
        <w:tc>
          <w:tcPr>
            <w:tcW w:w="1456" w:type="dxa"/>
            <w:vAlign w:val="top"/>
          </w:tcPr>
          <w:p w14:paraId="1B06AD0E">
            <w:pPr>
              <w:pStyle w:val="6"/>
              <w:spacing w:before="175" w:line="322" w:lineRule="auto"/>
              <w:ind w:left="642" w:right="185" w:hanging="447"/>
            </w:pPr>
            <w:r>
              <w:rPr>
                <w:spacing w:val="-2"/>
              </w:rPr>
              <w:t>设备采购及时</w:t>
            </w:r>
            <w:r>
              <w:t>率</w:t>
            </w:r>
          </w:p>
        </w:tc>
        <w:tc>
          <w:tcPr>
            <w:tcW w:w="718" w:type="dxa"/>
            <w:vAlign w:val="top"/>
          </w:tcPr>
          <w:p w14:paraId="643E5A9D">
            <w:pPr>
              <w:spacing w:line="271" w:lineRule="auto"/>
              <w:rPr>
                <w:rFonts w:ascii="Arial"/>
                <w:sz w:val="21"/>
              </w:rPr>
            </w:pPr>
          </w:p>
          <w:p w14:paraId="54DA8D70">
            <w:pPr>
              <w:pStyle w:val="6"/>
              <w:spacing w:before="58" w:line="221" w:lineRule="auto"/>
              <w:ind w:left="187"/>
            </w:pPr>
            <w:r>
              <w:rPr>
                <w:spacing w:val="-6"/>
              </w:rPr>
              <w:t>正向</w:t>
            </w:r>
          </w:p>
        </w:tc>
        <w:tc>
          <w:tcPr>
            <w:tcW w:w="730" w:type="dxa"/>
            <w:vAlign w:val="top"/>
          </w:tcPr>
          <w:p w14:paraId="405F057E">
            <w:pPr>
              <w:pStyle w:val="6"/>
              <w:spacing w:before="175" w:line="220" w:lineRule="auto"/>
              <w:ind w:left="192"/>
            </w:pPr>
            <w:r>
              <w:rPr>
                <w:spacing w:val="-5"/>
              </w:rPr>
              <w:t>大于</w:t>
            </w:r>
          </w:p>
          <w:p w14:paraId="084ADB62">
            <w:pPr>
              <w:pStyle w:val="6"/>
              <w:spacing w:before="97" w:line="219" w:lineRule="auto"/>
              <w:ind w:left="192"/>
            </w:pPr>
            <w:r>
              <w:rPr>
                <w:spacing w:val="-5"/>
              </w:rPr>
              <w:t>等于</w:t>
            </w:r>
          </w:p>
        </w:tc>
        <w:tc>
          <w:tcPr>
            <w:tcW w:w="720" w:type="dxa"/>
            <w:gridSpan w:val="2"/>
            <w:vAlign w:val="top"/>
          </w:tcPr>
          <w:p w14:paraId="3E410F47">
            <w:pPr>
              <w:spacing w:line="271" w:lineRule="auto"/>
              <w:rPr>
                <w:rFonts w:ascii="Arial"/>
                <w:sz w:val="21"/>
              </w:rPr>
            </w:pPr>
          </w:p>
          <w:p w14:paraId="55A49EC7">
            <w:pPr>
              <w:pStyle w:val="6"/>
              <w:spacing w:before="58"/>
              <w:ind w:left="277"/>
            </w:pPr>
            <w:r>
              <w:rPr>
                <w:spacing w:val="-4"/>
              </w:rPr>
              <w:t>95</w:t>
            </w:r>
          </w:p>
        </w:tc>
        <w:tc>
          <w:tcPr>
            <w:tcW w:w="845" w:type="dxa"/>
            <w:vAlign w:val="top"/>
          </w:tcPr>
          <w:p w14:paraId="687E1C0B">
            <w:pPr>
              <w:spacing w:line="271" w:lineRule="auto"/>
              <w:rPr>
                <w:rFonts w:ascii="Arial"/>
                <w:sz w:val="21"/>
              </w:rPr>
            </w:pPr>
          </w:p>
          <w:p w14:paraId="0D97B04A">
            <w:pPr>
              <w:pStyle w:val="6"/>
              <w:spacing w:before="58" w:line="239" w:lineRule="auto"/>
              <w:ind w:left="172"/>
            </w:pPr>
            <w:r>
              <w:rPr>
                <w:spacing w:val="-4"/>
              </w:rPr>
              <w:t>100.00</w:t>
            </w:r>
          </w:p>
        </w:tc>
        <w:tc>
          <w:tcPr>
            <w:tcW w:w="583" w:type="dxa"/>
            <w:vAlign w:val="top"/>
          </w:tcPr>
          <w:p w14:paraId="75CDC5B6">
            <w:pPr>
              <w:spacing w:line="271" w:lineRule="auto"/>
              <w:rPr>
                <w:rFonts w:ascii="Arial"/>
                <w:sz w:val="21"/>
              </w:rPr>
            </w:pPr>
          </w:p>
          <w:p w14:paraId="2CB27F9D">
            <w:pPr>
              <w:pStyle w:val="6"/>
              <w:spacing w:before="58"/>
              <w:ind w:left="247"/>
            </w:pPr>
            <w:r>
              <w:t>%</w:t>
            </w:r>
          </w:p>
        </w:tc>
        <w:tc>
          <w:tcPr>
            <w:tcW w:w="585" w:type="dxa"/>
            <w:vAlign w:val="top"/>
          </w:tcPr>
          <w:p w14:paraId="2410F3F6">
            <w:pPr>
              <w:spacing w:line="271" w:lineRule="auto"/>
              <w:rPr>
                <w:rFonts w:ascii="Arial"/>
                <w:sz w:val="21"/>
              </w:rPr>
            </w:pPr>
          </w:p>
          <w:p w14:paraId="738C3B77">
            <w:pPr>
              <w:pStyle w:val="6"/>
              <w:spacing w:before="58"/>
              <w:ind w:left="256"/>
            </w:pPr>
            <w:r>
              <w:t>5</w:t>
            </w:r>
          </w:p>
        </w:tc>
        <w:tc>
          <w:tcPr>
            <w:tcW w:w="531" w:type="dxa"/>
            <w:vAlign w:val="top"/>
          </w:tcPr>
          <w:p w14:paraId="2BC599D0">
            <w:pPr>
              <w:spacing w:line="271" w:lineRule="auto"/>
              <w:rPr>
                <w:rFonts w:ascii="Arial"/>
                <w:sz w:val="21"/>
              </w:rPr>
            </w:pPr>
          </w:p>
          <w:p w14:paraId="434AAEF4">
            <w:pPr>
              <w:pStyle w:val="6"/>
              <w:spacing w:before="58"/>
              <w:ind w:left="230"/>
            </w:pPr>
            <w:r>
              <w:t>5</w:t>
            </w:r>
          </w:p>
        </w:tc>
        <w:tc>
          <w:tcPr>
            <w:tcW w:w="1183" w:type="dxa"/>
            <w:vAlign w:val="top"/>
          </w:tcPr>
          <w:p w14:paraId="6767B88E">
            <w:pPr>
              <w:rPr>
                <w:rFonts w:ascii="Arial"/>
                <w:sz w:val="21"/>
              </w:rPr>
            </w:pPr>
          </w:p>
        </w:tc>
      </w:tr>
      <w:tr w14:paraId="5537D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7212D64A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 w14:paraId="499DA55F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5AC9A3D3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58EBEC2D">
            <w:pPr>
              <w:pStyle w:val="6"/>
              <w:spacing w:before="175" w:line="322" w:lineRule="auto"/>
              <w:ind w:left="642" w:right="185" w:hanging="447"/>
            </w:pPr>
            <w:r>
              <w:rPr>
                <w:spacing w:val="-2"/>
              </w:rPr>
              <w:t>设备维修及时</w:t>
            </w:r>
            <w:r>
              <w:t>率</w:t>
            </w:r>
          </w:p>
        </w:tc>
        <w:tc>
          <w:tcPr>
            <w:tcW w:w="718" w:type="dxa"/>
            <w:vAlign w:val="top"/>
          </w:tcPr>
          <w:p w14:paraId="425F70EC">
            <w:pPr>
              <w:spacing w:line="270" w:lineRule="auto"/>
              <w:rPr>
                <w:rFonts w:ascii="Arial"/>
                <w:sz w:val="21"/>
              </w:rPr>
            </w:pPr>
          </w:p>
          <w:p w14:paraId="413755F6">
            <w:pPr>
              <w:pStyle w:val="6"/>
              <w:spacing w:before="59" w:line="221" w:lineRule="auto"/>
              <w:ind w:left="187"/>
            </w:pPr>
            <w:r>
              <w:rPr>
                <w:spacing w:val="-6"/>
              </w:rPr>
              <w:t>正向</w:t>
            </w:r>
          </w:p>
        </w:tc>
        <w:tc>
          <w:tcPr>
            <w:tcW w:w="730" w:type="dxa"/>
            <w:vAlign w:val="top"/>
          </w:tcPr>
          <w:p w14:paraId="3F44FC70">
            <w:pPr>
              <w:pStyle w:val="6"/>
              <w:spacing w:before="175" w:line="220" w:lineRule="auto"/>
              <w:ind w:left="192"/>
            </w:pPr>
            <w:r>
              <w:rPr>
                <w:spacing w:val="-5"/>
              </w:rPr>
              <w:t>大于</w:t>
            </w:r>
          </w:p>
          <w:p w14:paraId="37CF5A61">
            <w:pPr>
              <w:pStyle w:val="6"/>
              <w:spacing w:before="97" w:line="219" w:lineRule="auto"/>
              <w:ind w:left="192"/>
            </w:pPr>
            <w:r>
              <w:rPr>
                <w:spacing w:val="-5"/>
              </w:rPr>
              <w:t>等于</w:t>
            </w:r>
          </w:p>
        </w:tc>
        <w:tc>
          <w:tcPr>
            <w:tcW w:w="720" w:type="dxa"/>
            <w:gridSpan w:val="2"/>
            <w:vAlign w:val="top"/>
          </w:tcPr>
          <w:p w14:paraId="7666E7E2">
            <w:pPr>
              <w:spacing w:line="270" w:lineRule="auto"/>
              <w:rPr>
                <w:rFonts w:ascii="Arial"/>
                <w:sz w:val="21"/>
              </w:rPr>
            </w:pPr>
          </w:p>
          <w:p w14:paraId="35A193B4">
            <w:pPr>
              <w:pStyle w:val="6"/>
              <w:spacing w:before="59"/>
              <w:ind w:left="277"/>
            </w:pPr>
            <w:r>
              <w:rPr>
                <w:spacing w:val="-4"/>
              </w:rPr>
              <w:t>95</w:t>
            </w:r>
          </w:p>
        </w:tc>
        <w:tc>
          <w:tcPr>
            <w:tcW w:w="845" w:type="dxa"/>
            <w:vAlign w:val="top"/>
          </w:tcPr>
          <w:p w14:paraId="468A41DA">
            <w:pPr>
              <w:spacing w:line="271" w:lineRule="auto"/>
              <w:rPr>
                <w:rFonts w:ascii="Arial"/>
                <w:sz w:val="21"/>
              </w:rPr>
            </w:pPr>
          </w:p>
          <w:p w14:paraId="73C77FDC">
            <w:pPr>
              <w:pStyle w:val="6"/>
              <w:spacing w:before="58" w:line="239" w:lineRule="auto"/>
              <w:ind w:left="172"/>
            </w:pPr>
            <w:r>
              <w:rPr>
                <w:spacing w:val="-4"/>
              </w:rPr>
              <w:t>100.00</w:t>
            </w:r>
          </w:p>
        </w:tc>
        <w:tc>
          <w:tcPr>
            <w:tcW w:w="583" w:type="dxa"/>
            <w:vAlign w:val="top"/>
          </w:tcPr>
          <w:p w14:paraId="2AC78F9F">
            <w:pPr>
              <w:spacing w:line="270" w:lineRule="auto"/>
              <w:rPr>
                <w:rFonts w:ascii="Arial"/>
                <w:sz w:val="21"/>
              </w:rPr>
            </w:pPr>
          </w:p>
          <w:p w14:paraId="41F10704">
            <w:pPr>
              <w:pStyle w:val="6"/>
              <w:spacing w:before="59"/>
              <w:ind w:left="247"/>
            </w:pPr>
            <w:r>
              <w:t>%</w:t>
            </w:r>
          </w:p>
        </w:tc>
        <w:tc>
          <w:tcPr>
            <w:tcW w:w="585" w:type="dxa"/>
            <w:vAlign w:val="top"/>
          </w:tcPr>
          <w:p w14:paraId="2B041549">
            <w:pPr>
              <w:spacing w:line="270" w:lineRule="auto"/>
              <w:rPr>
                <w:rFonts w:ascii="Arial"/>
                <w:sz w:val="21"/>
              </w:rPr>
            </w:pPr>
          </w:p>
          <w:p w14:paraId="64BB1201">
            <w:pPr>
              <w:pStyle w:val="6"/>
              <w:spacing w:before="59"/>
              <w:ind w:left="256"/>
            </w:pPr>
            <w:r>
              <w:t>5</w:t>
            </w:r>
          </w:p>
        </w:tc>
        <w:tc>
          <w:tcPr>
            <w:tcW w:w="531" w:type="dxa"/>
            <w:vAlign w:val="top"/>
          </w:tcPr>
          <w:p w14:paraId="2EBCA544">
            <w:pPr>
              <w:spacing w:line="270" w:lineRule="auto"/>
              <w:rPr>
                <w:rFonts w:ascii="Arial"/>
                <w:sz w:val="21"/>
              </w:rPr>
            </w:pPr>
          </w:p>
          <w:p w14:paraId="0E049727">
            <w:pPr>
              <w:pStyle w:val="6"/>
              <w:spacing w:before="59"/>
              <w:ind w:left="230"/>
            </w:pPr>
            <w:r>
              <w:t>5</w:t>
            </w:r>
          </w:p>
        </w:tc>
        <w:tc>
          <w:tcPr>
            <w:tcW w:w="1183" w:type="dxa"/>
            <w:vAlign w:val="top"/>
          </w:tcPr>
          <w:p w14:paraId="6534AC71">
            <w:pPr>
              <w:rPr>
                <w:rFonts w:ascii="Arial"/>
                <w:sz w:val="21"/>
              </w:rPr>
            </w:pPr>
          </w:p>
        </w:tc>
      </w:tr>
      <w:tr w14:paraId="2E91C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E31A4CA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 w14:paraId="71DDD398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3BBF3AEE">
            <w:pPr>
              <w:spacing w:line="279" w:lineRule="auto"/>
              <w:rPr>
                <w:rFonts w:ascii="Arial"/>
                <w:sz w:val="21"/>
              </w:rPr>
            </w:pPr>
          </w:p>
          <w:p w14:paraId="49E9D5D0">
            <w:pPr>
              <w:spacing w:line="279" w:lineRule="auto"/>
              <w:rPr>
                <w:rFonts w:ascii="Arial"/>
                <w:sz w:val="21"/>
              </w:rPr>
            </w:pPr>
          </w:p>
          <w:p w14:paraId="578069B7">
            <w:pPr>
              <w:spacing w:line="279" w:lineRule="auto"/>
              <w:rPr>
                <w:rFonts w:ascii="Arial"/>
                <w:sz w:val="21"/>
              </w:rPr>
            </w:pPr>
          </w:p>
          <w:p w14:paraId="50B07EF1">
            <w:pPr>
              <w:spacing w:line="280" w:lineRule="auto"/>
              <w:rPr>
                <w:rFonts w:ascii="Arial"/>
                <w:sz w:val="21"/>
              </w:rPr>
            </w:pPr>
          </w:p>
          <w:p w14:paraId="0F8EBDB3">
            <w:pPr>
              <w:pStyle w:val="6"/>
              <w:spacing w:before="58" w:line="219" w:lineRule="auto"/>
              <w:ind w:left="131"/>
            </w:pPr>
            <w:r>
              <w:rPr>
                <w:spacing w:val="-3"/>
              </w:rPr>
              <w:t>成本指标</w:t>
            </w:r>
          </w:p>
        </w:tc>
        <w:tc>
          <w:tcPr>
            <w:tcW w:w="1456" w:type="dxa"/>
            <w:vAlign w:val="top"/>
          </w:tcPr>
          <w:p w14:paraId="4CD89D8F">
            <w:pPr>
              <w:pStyle w:val="6"/>
              <w:spacing w:before="176" w:line="322" w:lineRule="auto"/>
              <w:ind w:left="553" w:right="185" w:hanging="347"/>
            </w:pPr>
            <w:r>
              <w:rPr>
                <w:spacing w:val="-4"/>
              </w:rPr>
              <w:t>台式电脑采购</w:t>
            </w:r>
            <w:r>
              <w:rPr>
                <w:spacing w:val="-5"/>
              </w:rPr>
              <w:t>成本</w:t>
            </w:r>
          </w:p>
        </w:tc>
        <w:tc>
          <w:tcPr>
            <w:tcW w:w="718" w:type="dxa"/>
            <w:vAlign w:val="top"/>
          </w:tcPr>
          <w:p w14:paraId="5537697E">
            <w:pPr>
              <w:spacing w:line="272" w:lineRule="auto"/>
              <w:rPr>
                <w:rFonts w:ascii="Arial"/>
                <w:sz w:val="21"/>
              </w:rPr>
            </w:pPr>
          </w:p>
          <w:p w14:paraId="239BBD63">
            <w:pPr>
              <w:pStyle w:val="6"/>
              <w:spacing w:before="59" w:line="221" w:lineRule="auto"/>
              <w:ind w:left="184"/>
            </w:pPr>
            <w:r>
              <w:rPr>
                <w:spacing w:val="-4"/>
              </w:rPr>
              <w:t>反向</w:t>
            </w:r>
          </w:p>
        </w:tc>
        <w:tc>
          <w:tcPr>
            <w:tcW w:w="730" w:type="dxa"/>
            <w:vAlign w:val="top"/>
          </w:tcPr>
          <w:p w14:paraId="3DB53D0A">
            <w:pPr>
              <w:pStyle w:val="6"/>
              <w:spacing w:before="177" w:line="221" w:lineRule="auto"/>
              <w:ind w:left="195"/>
            </w:pPr>
            <w:r>
              <w:rPr>
                <w:spacing w:val="-6"/>
              </w:rPr>
              <w:t>小于</w:t>
            </w:r>
          </w:p>
          <w:p w14:paraId="4945F5E2">
            <w:pPr>
              <w:pStyle w:val="6"/>
              <w:spacing w:before="96" w:line="219" w:lineRule="auto"/>
              <w:ind w:left="192"/>
            </w:pPr>
            <w:r>
              <w:rPr>
                <w:spacing w:val="-5"/>
              </w:rPr>
              <w:t>等于</w:t>
            </w:r>
          </w:p>
        </w:tc>
        <w:tc>
          <w:tcPr>
            <w:tcW w:w="720" w:type="dxa"/>
            <w:gridSpan w:val="2"/>
            <w:vAlign w:val="top"/>
          </w:tcPr>
          <w:p w14:paraId="6938CE72">
            <w:pPr>
              <w:spacing w:line="272" w:lineRule="auto"/>
              <w:rPr>
                <w:rFonts w:ascii="Arial"/>
                <w:sz w:val="21"/>
              </w:rPr>
            </w:pPr>
          </w:p>
          <w:p w14:paraId="6C2AB929">
            <w:pPr>
              <w:pStyle w:val="6"/>
              <w:spacing w:before="59"/>
              <w:ind w:left="189"/>
            </w:pPr>
            <w:r>
              <w:rPr>
                <w:spacing w:val="-3"/>
              </w:rPr>
              <w:t>5500</w:t>
            </w:r>
          </w:p>
        </w:tc>
        <w:tc>
          <w:tcPr>
            <w:tcW w:w="845" w:type="dxa"/>
            <w:vAlign w:val="top"/>
          </w:tcPr>
          <w:p w14:paraId="415A5614">
            <w:pPr>
              <w:spacing w:line="273" w:lineRule="auto"/>
              <w:rPr>
                <w:rFonts w:ascii="Arial"/>
                <w:sz w:val="21"/>
              </w:rPr>
            </w:pPr>
          </w:p>
          <w:p w14:paraId="112F64D6">
            <w:pPr>
              <w:pStyle w:val="6"/>
              <w:spacing w:before="58" w:line="239" w:lineRule="auto"/>
              <w:ind w:left="117"/>
            </w:pPr>
            <w:r>
              <w:rPr>
                <w:spacing w:val="-2"/>
              </w:rPr>
              <w:t>5000.00</w:t>
            </w:r>
          </w:p>
        </w:tc>
        <w:tc>
          <w:tcPr>
            <w:tcW w:w="583" w:type="dxa"/>
            <w:vAlign w:val="top"/>
          </w:tcPr>
          <w:p w14:paraId="5F1CA462">
            <w:pPr>
              <w:pStyle w:val="6"/>
              <w:spacing w:before="177" w:line="323" w:lineRule="auto"/>
              <w:ind w:left="220" w:right="151" w:hanging="55"/>
            </w:pPr>
            <w:r>
              <w:rPr>
                <w:spacing w:val="-5"/>
              </w:rPr>
              <w:t>元/</w:t>
            </w:r>
            <w:r>
              <w:t>台</w:t>
            </w:r>
          </w:p>
        </w:tc>
        <w:tc>
          <w:tcPr>
            <w:tcW w:w="585" w:type="dxa"/>
            <w:vAlign w:val="top"/>
          </w:tcPr>
          <w:p w14:paraId="25ED2B0D">
            <w:pPr>
              <w:spacing w:line="272" w:lineRule="auto"/>
              <w:rPr>
                <w:rFonts w:ascii="Arial"/>
                <w:sz w:val="21"/>
              </w:rPr>
            </w:pPr>
          </w:p>
          <w:p w14:paraId="28257C18">
            <w:pPr>
              <w:pStyle w:val="6"/>
              <w:spacing w:before="59"/>
              <w:ind w:left="256"/>
            </w:pPr>
            <w:r>
              <w:t>5</w:t>
            </w:r>
          </w:p>
        </w:tc>
        <w:tc>
          <w:tcPr>
            <w:tcW w:w="531" w:type="dxa"/>
            <w:vAlign w:val="top"/>
          </w:tcPr>
          <w:p w14:paraId="272149E5">
            <w:pPr>
              <w:spacing w:line="272" w:lineRule="auto"/>
              <w:rPr>
                <w:rFonts w:ascii="Arial"/>
                <w:sz w:val="21"/>
              </w:rPr>
            </w:pPr>
          </w:p>
          <w:p w14:paraId="7B5FB4CA">
            <w:pPr>
              <w:pStyle w:val="6"/>
              <w:spacing w:before="59"/>
              <w:ind w:left="230"/>
            </w:pPr>
            <w:r>
              <w:t>5</w:t>
            </w:r>
          </w:p>
        </w:tc>
        <w:tc>
          <w:tcPr>
            <w:tcW w:w="1183" w:type="dxa"/>
            <w:vAlign w:val="top"/>
          </w:tcPr>
          <w:p w14:paraId="55697FF2">
            <w:pPr>
              <w:rPr>
                <w:rFonts w:ascii="Arial"/>
                <w:sz w:val="21"/>
              </w:rPr>
            </w:pPr>
          </w:p>
        </w:tc>
      </w:tr>
      <w:tr w14:paraId="68F74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932F02E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 w14:paraId="5013FA79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5320C55D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432F6F35">
            <w:pPr>
              <w:pStyle w:val="6"/>
              <w:spacing w:before="176" w:line="322" w:lineRule="auto"/>
              <w:ind w:left="553" w:right="185" w:hanging="343"/>
            </w:pPr>
            <w:r>
              <w:rPr>
                <w:spacing w:val="-5"/>
              </w:rPr>
              <w:t>国产电脑采购成本</w:t>
            </w:r>
          </w:p>
        </w:tc>
        <w:tc>
          <w:tcPr>
            <w:tcW w:w="718" w:type="dxa"/>
            <w:vAlign w:val="top"/>
          </w:tcPr>
          <w:p w14:paraId="13D01ED0">
            <w:pPr>
              <w:spacing w:line="272" w:lineRule="auto"/>
              <w:rPr>
                <w:rFonts w:ascii="Arial"/>
                <w:sz w:val="21"/>
              </w:rPr>
            </w:pPr>
          </w:p>
          <w:p w14:paraId="53D9666B">
            <w:pPr>
              <w:pStyle w:val="6"/>
              <w:spacing w:before="59" w:line="221" w:lineRule="auto"/>
              <w:ind w:left="184"/>
            </w:pPr>
            <w:r>
              <w:rPr>
                <w:spacing w:val="-4"/>
              </w:rPr>
              <w:t>反向</w:t>
            </w:r>
          </w:p>
        </w:tc>
        <w:tc>
          <w:tcPr>
            <w:tcW w:w="730" w:type="dxa"/>
            <w:vAlign w:val="top"/>
          </w:tcPr>
          <w:p w14:paraId="7BE6E296">
            <w:pPr>
              <w:pStyle w:val="6"/>
              <w:spacing w:before="177" w:line="221" w:lineRule="auto"/>
              <w:ind w:left="195"/>
            </w:pPr>
            <w:r>
              <w:rPr>
                <w:spacing w:val="-6"/>
              </w:rPr>
              <w:t>小于</w:t>
            </w:r>
          </w:p>
          <w:p w14:paraId="745AEF73">
            <w:pPr>
              <w:pStyle w:val="6"/>
              <w:spacing w:before="96" w:line="219" w:lineRule="auto"/>
              <w:ind w:left="192"/>
            </w:pPr>
            <w:r>
              <w:rPr>
                <w:spacing w:val="-5"/>
              </w:rPr>
              <w:t>等于</w:t>
            </w:r>
          </w:p>
        </w:tc>
        <w:tc>
          <w:tcPr>
            <w:tcW w:w="720" w:type="dxa"/>
            <w:gridSpan w:val="2"/>
            <w:vAlign w:val="top"/>
          </w:tcPr>
          <w:p w14:paraId="4B394CEE">
            <w:pPr>
              <w:spacing w:line="272" w:lineRule="auto"/>
              <w:rPr>
                <w:rFonts w:ascii="Arial"/>
                <w:sz w:val="21"/>
              </w:rPr>
            </w:pPr>
          </w:p>
          <w:p w14:paraId="726EA142">
            <w:pPr>
              <w:pStyle w:val="6"/>
              <w:spacing w:before="58"/>
              <w:ind w:left="186"/>
            </w:pPr>
            <w:r>
              <w:rPr>
                <w:spacing w:val="-2"/>
              </w:rPr>
              <w:t>8000</w:t>
            </w:r>
          </w:p>
        </w:tc>
        <w:tc>
          <w:tcPr>
            <w:tcW w:w="845" w:type="dxa"/>
            <w:vAlign w:val="top"/>
          </w:tcPr>
          <w:p w14:paraId="6E11200E">
            <w:pPr>
              <w:spacing w:line="272" w:lineRule="auto"/>
              <w:rPr>
                <w:rFonts w:ascii="Arial"/>
                <w:sz w:val="21"/>
              </w:rPr>
            </w:pPr>
          </w:p>
          <w:p w14:paraId="1E1AC446">
            <w:pPr>
              <w:pStyle w:val="6"/>
              <w:spacing w:before="59" w:line="239" w:lineRule="auto"/>
              <w:ind w:left="117"/>
            </w:pPr>
            <w:r>
              <w:rPr>
                <w:spacing w:val="-2"/>
              </w:rPr>
              <w:t>7000.00</w:t>
            </w:r>
          </w:p>
        </w:tc>
        <w:tc>
          <w:tcPr>
            <w:tcW w:w="583" w:type="dxa"/>
            <w:vAlign w:val="top"/>
          </w:tcPr>
          <w:p w14:paraId="368FC292">
            <w:pPr>
              <w:pStyle w:val="6"/>
              <w:spacing w:before="177" w:line="323" w:lineRule="auto"/>
              <w:ind w:left="220" w:right="151" w:hanging="55"/>
            </w:pPr>
            <w:r>
              <w:rPr>
                <w:spacing w:val="-5"/>
              </w:rPr>
              <w:t>元/</w:t>
            </w:r>
            <w:r>
              <w:t>台</w:t>
            </w:r>
          </w:p>
        </w:tc>
        <w:tc>
          <w:tcPr>
            <w:tcW w:w="585" w:type="dxa"/>
            <w:vAlign w:val="top"/>
          </w:tcPr>
          <w:p w14:paraId="67A80342">
            <w:pPr>
              <w:spacing w:line="272" w:lineRule="auto"/>
              <w:rPr>
                <w:rFonts w:ascii="Arial"/>
                <w:sz w:val="21"/>
              </w:rPr>
            </w:pPr>
          </w:p>
          <w:p w14:paraId="038CCDE4">
            <w:pPr>
              <w:pStyle w:val="6"/>
              <w:spacing w:before="58"/>
              <w:ind w:left="256"/>
            </w:pPr>
            <w:r>
              <w:t>3</w:t>
            </w:r>
          </w:p>
        </w:tc>
        <w:tc>
          <w:tcPr>
            <w:tcW w:w="531" w:type="dxa"/>
            <w:vAlign w:val="top"/>
          </w:tcPr>
          <w:p w14:paraId="0619AD1A">
            <w:pPr>
              <w:spacing w:line="272" w:lineRule="auto"/>
              <w:rPr>
                <w:rFonts w:ascii="Arial"/>
                <w:sz w:val="21"/>
              </w:rPr>
            </w:pPr>
          </w:p>
          <w:p w14:paraId="0A2B2D1B">
            <w:pPr>
              <w:pStyle w:val="6"/>
              <w:spacing w:before="58"/>
              <w:ind w:left="230"/>
            </w:pPr>
            <w:r>
              <w:t>3</w:t>
            </w:r>
          </w:p>
        </w:tc>
        <w:tc>
          <w:tcPr>
            <w:tcW w:w="1183" w:type="dxa"/>
            <w:vAlign w:val="top"/>
          </w:tcPr>
          <w:p w14:paraId="4C310CD6">
            <w:pPr>
              <w:rPr>
                <w:rFonts w:ascii="Arial"/>
                <w:sz w:val="21"/>
              </w:rPr>
            </w:pPr>
          </w:p>
        </w:tc>
      </w:tr>
      <w:tr w14:paraId="23316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33B08C9B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 w14:paraId="5C518C70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2880CA2E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4C792CC0">
            <w:pPr>
              <w:pStyle w:val="6"/>
              <w:spacing w:before="176" w:line="322" w:lineRule="auto"/>
              <w:ind w:left="459" w:right="185" w:hanging="249"/>
            </w:pPr>
            <w:r>
              <w:rPr>
                <w:spacing w:val="-5"/>
              </w:rPr>
              <w:t>国产打印机采</w:t>
            </w:r>
            <w:r>
              <w:rPr>
                <w:spacing w:val="-2"/>
              </w:rPr>
              <w:t>购成本</w:t>
            </w:r>
          </w:p>
        </w:tc>
        <w:tc>
          <w:tcPr>
            <w:tcW w:w="718" w:type="dxa"/>
            <w:vAlign w:val="top"/>
          </w:tcPr>
          <w:p w14:paraId="2AC71128">
            <w:pPr>
              <w:spacing w:line="272" w:lineRule="auto"/>
              <w:rPr>
                <w:rFonts w:ascii="Arial"/>
                <w:sz w:val="21"/>
              </w:rPr>
            </w:pPr>
          </w:p>
          <w:p w14:paraId="48A4CF53">
            <w:pPr>
              <w:pStyle w:val="6"/>
              <w:spacing w:before="58" w:line="221" w:lineRule="auto"/>
              <w:ind w:left="184"/>
            </w:pPr>
            <w:r>
              <w:rPr>
                <w:spacing w:val="-4"/>
              </w:rPr>
              <w:t>反向</w:t>
            </w:r>
          </w:p>
        </w:tc>
        <w:tc>
          <w:tcPr>
            <w:tcW w:w="730" w:type="dxa"/>
            <w:vAlign w:val="top"/>
          </w:tcPr>
          <w:p w14:paraId="213D13DD">
            <w:pPr>
              <w:pStyle w:val="6"/>
              <w:spacing w:before="177" w:line="221" w:lineRule="auto"/>
              <w:ind w:left="195"/>
            </w:pPr>
            <w:r>
              <w:rPr>
                <w:spacing w:val="-6"/>
              </w:rPr>
              <w:t>小于</w:t>
            </w:r>
          </w:p>
          <w:p w14:paraId="4DB53B1C">
            <w:pPr>
              <w:pStyle w:val="6"/>
              <w:spacing w:before="96" w:line="219" w:lineRule="auto"/>
              <w:ind w:left="192"/>
            </w:pPr>
            <w:r>
              <w:rPr>
                <w:spacing w:val="-5"/>
              </w:rPr>
              <w:t>等于</w:t>
            </w:r>
          </w:p>
        </w:tc>
        <w:tc>
          <w:tcPr>
            <w:tcW w:w="720" w:type="dxa"/>
            <w:gridSpan w:val="2"/>
            <w:vAlign w:val="top"/>
          </w:tcPr>
          <w:p w14:paraId="2DF13725">
            <w:pPr>
              <w:spacing w:line="271" w:lineRule="auto"/>
              <w:rPr>
                <w:rFonts w:ascii="Arial"/>
                <w:sz w:val="21"/>
              </w:rPr>
            </w:pPr>
          </w:p>
          <w:p w14:paraId="1FBAFB7D">
            <w:pPr>
              <w:pStyle w:val="6"/>
              <w:spacing w:before="59"/>
              <w:ind w:left="189"/>
            </w:pPr>
            <w:r>
              <w:rPr>
                <w:spacing w:val="-3"/>
              </w:rPr>
              <w:t>5000</w:t>
            </w:r>
          </w:p>
        </w:tc>
        <w:tc>
          <w:tcPr>
            <w:tcW w:w="845" w:type="dxa"/>
            <w:vAlign w:val="top"/>
          </w:tcPr>
          <w:p w14:paraId="3615847C">
            <w:pPr>
              <w:spacing w:line="272" w:lineRule="auto"/>
              <w:rPr>
                <w:rFonts w:ascii="Arial"/>
                <w:sz w:val="21"/>
              </w:rPr>
            </w:pPr>
          </w:p>
          <w:p w14:paraId="6E586442">
            <w:pPr>
              <w:pStyle w:val="6"/>
              <w:spacing w:before="58" w:line="239" w:lineRule="auto"/>
              <w:ind w:left="249"/>
            </w:pPr>
            <w:r>
              <w:rPr>
                <w:spacing w:val="-2"/>
              </w:rPr>
              <w:t>0.00</w:t>
            </w:r>
          </w:p>
        </w:tc>
        <w:tc>
          <w:tcPr>
            <w:tcW w:w="583" w:type="dxa"/>
            <w:vAlign w:val="top"/>
          </w:tcPr>
          <w:p w14:paraId="205AEB36">
            <w:pPr>
              <w:pStyle w:val="6"/>
              <w:spacing w:before="176" w:line="323" w:lineRule="auto"/>
              <w:ind w:left="220" w:right="151" w:hanging="55"/>
            </w:pPr>
            <w:r>
              <w:rPr>
                <w:spacing w:val="-5"/>
              </w:rPr>
              <w:t>元/</w:t>
            </w:r>
            <w:r>
              <w:t>台</w:t>
            </w:r>
          </w:p>
        </w:tc>
        <w:tc>
          <w:tcPr>
            <w:tcW w:w="585" w:type="dxa"/>
            <w:vAlign w:val="top"/>
          </w:tcPr>
          <w:p w14:paraId="71974C9A">
            <w:pPr>
              <w:spacing w:line="272" w:lineRule="auto"/>
              <w:rPr>
                <w:rFonts w:ascii="Arial"/>
                <w:sz w:val="21"/>
              </w:rPr>
            </w:pPr>
          </w:p>
          <w:p w14:paraId="2FB053DE">
            <w:pPr>
              <w:pStyle w:val="6"/>
              <w:spacing w:before="58" w:line="241" w:lineRule="auto"/>
              <w:ind w:left="254"/>
            </w:pPr>
            <w:r>
              <w:t>2</w:t>
            </w:r>
          </w:p>
        </w:tc>
        <w:tc>
          <w:tcPr>
            <w:tcW w:w="531" w:type="dxa"/>
            <w:vAlign w:val="top"/>
          </w:tcPr>
          <w:p w14:paraId="23C6F50C">
            <w:pPr>
              <w:spacing w:line="272" w:lineRule="auto"/>
              <w:rPr>
                <w:rFonts w:ascii="Arial"/>
                <w:sz w:val="21"/>
              </w:rPr>
            </w:pPr>
          </w:p>
          <w:p w14:paraId="0A27CE5B">
            <w:pPr>
              <w:pStyle w:val="6"/>
              <w:spacing w:before="58" w:line="241" w:lineRule="auto"/>
              <w:ind w:left="229"/>
            </w:pPr>
            <w:r>
              <w:t>2</w:t>
            </w:r>
          </w:p>
        </w:tc>
        <w:tc>
          <w:tcPr>
            <w:tcW w:w="1183" w:type="dxa"/>
            <w:vAlign w:val="top"/>
          </w:tcPr>
          <w:p w14:paraId="475005F8">
            <w:pPr>
              <w:rPr>
                <w:rFonts w:ascii="Arial"/>
                <w:sz w:val="21"/>
              </w:rPr>
            </w:pPr>
          </w:p>
        </w:tc>
      </w:tr>
      <w:tr w14:paraId="28B3A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1942ECE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 w14:paraId="194C2107">
            <w:pPr>
              <w:spacing w:line="270" w:lineRule="auto"/>
              <w:rPr>
                <w:rFonts w:ascii="Arial"/>
                <w:sz w:val="21"/>
              </w:rPr>
            </w:pPr>
          </w:p>
          <w:p w14:paraId="700C3F8C">
            <w:pPr>
              <w:spacing w:line="270" w:lineRule="auto"/>
              <w:rPr>
                <w:rFonts w:ascii="Arial"/>
                <w:sz w:val="21"/>
              </w:rPr>
            </w:pPr>
          </w:p>
          <w:p w14:paraId="00551748">
            <w:pPr>
              <w:pStyle w:val="6"/>
              <w:spacing w:before="58" w:line="322" w:lineRule="auto"/>
              <w:ind w:left="124" w:right="119" w:firstLine="2"/>
            </w:pPr>
            <w:r>
              <w:rPr>
                <w:spacing w:val="-6"/>
              </w:rPr>
              <w:t>效益</w:t>
            </w:r>
            <w:r>
              <w:rPr>
                <w:spacing w:val="-5"/>
              </w:rPr>
              <w:t>指标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6A630809">
            <w:pPr>
              <w:spacing w:line="270" w:lineRule="auto"/>
              <w:rPr>
                <w:rFonts w:ascii="Arial"/>
                <w:sz w:val="21"/>
              </w:rPr>
            </w:pPr>
          </w:p>
          <w:p w14:paraId="3E60227F">
            <w:pPr>
              <w:spacing w:line="270" w:lineRule="auto"/>
              <w:rPr>
                <w:rFonts w:ascii="Arial"/>
                <w:sz w:val="21"/>
              </w:rPr>
            </w:pPr>
          </w:p>
          <w:p w14:paraId="51FC62DE">
            <w:pPr>
              <w:pStyle w:val="6"/>
              <w:spacing w:before="58" w:line="322" w:lineRule="auto"/>
              <w:ind w:left="311" w:right="126" w:hanging="180"/>
            </w:pPr>
            <w:r>
              <w:rPr>
                <w:spacing w:val="-3"/>
              </w:rPr>
              <w:t>社会效益</w:t>
            </w:r>
            <w:r>
              <w:rPr>
                <w:spacing w:val="-5"/>
              </w:rPr>
              <w:t>指标</w:t>
            </w:r>
          </w:p>
        </w:tc>
        <w:tc>
          <w:tcPr>
            <w:tcW w:w="1456" w:type="dxa"/>
            <w:vAlign w:val="top"/>
          </w:tcPr>
          <w:p w14:paraId="60A3246C">
            <w:pPr>
              <w:pStyle w:val="6"/>
              <w:spacing w:before="176" w:line="322" w:lineRule="auto"/>
              <w:ind w:left="554" w:right="185" w:hanging="355"/>
            </w:pPr>
            <w:r>
              <w:rPr>
                <w:spacing w:val="-3"/>
              </w:rPr>
              <w:t>改善执法办案</w:t>
            </w:r>
            <w:r>
              <w:rPr>
                <w:spacing w:val="-5"/>
              </w:rPr>
              <w:t>条件</w:t>
            </w:r>
          </w:p>
        </w:tc>
        <w:tc>
          <w:tcPr>
            <w:tcW w:w="718" w:type="dxa"/>
            <w:vAlign w:val="top"/>
          </w:tcPr>
          <w:p w14:paraId="469463E0">
            <w:pPr>
              <w:spacing w:line="272" w:lineRule="auto"/>
              <w:rPr>
                <w:rFonts w:ascii="Arial"/>
                <w:sz w:val="21"/>
              </w:rPr>
            </w:pPr>
          </w:p>
          <w:p w14:paraId="6FB71FA2">
            <w:pPr>
              <w:pStyle w:val="6"/>
              <w:spacing w:before="58" w:line="220" w:lineRule="auto"/>
              <w:ind w:left="188"/>
            </w:pPr>
            <w:r>
              <w:rPr>
                <w:spacing w:val="-6"/>
              </w:rPr>
              <w:t>定性</w:t>
            </w:r>
          </w:p>
        </w:tc>
        <w:tc>
          <w:tcPr>
            <w:tcW w:w="730" w:type="dxa"/>
            <w:vAlign w:val="top"/>
          </w:tcPr>
          <w:p w14:paraId="4037D87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2"/>
            <w:vAlign w:val="top"/>
          </w:tcPr>
          <w:p w14:paraId="10A1DE11">
            <w:pPr>
              <w:spacing w:line="272" w:lineRule="auto"/>
              <w:rPr>
                <w:rFonts w:ascii="Arial"/>
                <w:sz w:val="21"/>
              </w:rPr>
            </w:pPr>
          </w:p>
          <w:p w14:paraId="02C97485">
            <w:pPr>
              <w:pStyle w:val="6"/>
              <w:spacing w:before="58" w:line="219" w:lineRule="auto"/>
              <w:ind w:left="191"/>
            </w:pPr>
            <w:r>
              <w:rPr>
                <w:spacing w:val="-7"/>
              </w:rPr>
              <w:t>改善</w:t>
            </w:r>
          </w:p>
        </w:tc>
        <w:tc>
          <w:tcPr>
            <w:tcW w:w="845" w:type="dxa"/>
            <w:vAlign w:val="top"/>
          </w:tcPr>
          <w:p w14:paraId="26CB31DD">
            <w:pPr>
              <w:spacing w:line="272" w:lineRule="auto"/>
              <w:rPr>
                <w:rFonts w:ascii="Arial"/>
                <w:sz w:val="21"/>
              </w:rPr>
            </w:pPr>
          </w:p>
          <w:p w14:paraId="3D26A830">
            <w:pPr>
              <w:pStyle w:val="6"/>
              <w:spacing w:before="58" w:line="219" w:lineRule="auto"/>
              <w:ind w:left="254"/>
            </w:pPr>
            <w:r>
              <w:rPr>
                <w:spacing w:val="-7"/>
              </w:rPr>
              <w:t>改善</w:t>
            </w:r>
          </w:p>
        </w:tc>
        <w:tc>
          <w:tcPr>
            <w:tcW w:w="583" w:type="dxa"/>
            <w:vAlign w:val="top"/>
          </w:tcPr>
          <w:p w14:paraId="78E121F6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7E62F220">
            <w:pPr>
              <w:spacing w:line="271" w:lineRule="auto"/>
              <w:rPr>
                <w:rFonts w:ascii="Arial"/>
                <w:sz w:val="21"/>
              </w:rPr>
            </w:pPr>
          </w:p>
          <w:p w14:paraId="408C39BA">
            <w:pPr>
              <w:pStyle w:val="6"/>
              <w:spacing w:before="59"/>
              <w:ind w:left="222"/>
            </w:pPr>
            <w:r>
              <w:rPr>
                <w:spacing w:val="-10"/>
              </w:rPr>
              <w:t>10</w:t>
            </w:r>
          </w:p>
        </w:tc>
        <w:tc>
          <w:tcPr>
            <w:tcW w:w="531" w:type="dxa"/>
            <w:vAlign w:val="top"/>
          </w:tcPr>
          <w:p w14:paraId="203E50E9">
            <w:pPr>
              <w:spacing w:line="271" w:lineRule="auto"/>
              <w:rPr>
                <w:rFonts w:ascii="Arial"/>
                <w:sz w:val="21"/>
              </w:rPr>
            </w:pPr>
          </w:p>
          <w:p w14:paraId="6915A9AA">
            <w:pPr>
              <w:pStyle w:val="6"/>
              <w:spacing w:before="59"/>
              <w:ind w:left="194"/>
            </w:pPr>
            <w:r>
              <w:rPr>
                <w:spacing w:val="-10"/>
              </w:rPr>
              <w:t>10</w:t>
            </w:r>
          </w:p>
        </w:tc>
        <w:tc>
          <w:tcPr>
            <w:tcW w:w="1183" w:type="dxa"/>
            <w:vAlign w:val="top"/>
          </w:tcPr>
          <w:p w14:paraId="0E1992B9">
            <w:pPr>
              <w:rPr>
                <w:rFonts w:ascii="Arial"/>
                <w:sz w:val="21"/>
              </w:rPr>
            </w:pPr>
          </w:p>
        </w:tc>
      </w:tr>
      <w:tr w14:paraId="67AAC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7CFD8C8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 w14:paraId="329EFA07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7687CA04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bottom w:val="nil"/>
            </w:tcBorders>
            <w:vAlign w:val="top"/>
          </w:tcPr>
          <w:p w14:paraId="317AC777">
            <w:pPr>
              <w:spacing w:line="271" w:lineRule="auto"/>
              <w:rPr>
                <w:rFonts w:ascii="Arial"/>
                <w:sz w:val="21"/>
              </w:rPr>
            </w:pPr>
          </w:p>
          <w:p w14:paraId="7075F447">
            <w:pPr>
              <w:pStyle w:val="6"/>
              <w:spacing w:before="59" w:line="219" w:lineRule="auto"/>
              <w:ind w:left="193"/>
            </w:pPr>
            <w:r>
              <w:rPr>
                <w:spacing w:val="-2"/>
              </w:rPr>
              <w:t>提升工作效率</w:t>
            </w:r>
          </w:p>
        </w:tc>
        <w:tc>
          <w:tcPr>
            <w:tcW w:w="718" w:type="dxa"/>
            <w:tcBorders>
              <w:bottom w:val="nil"/>
            </w:tcBorders>
            <w:vAlign w:val="top"/>
          </w:tcPr>
          <w:p w14:paraId="6FBDEA5F">
            <w:pPr>
              <w:spacing w:line="271" w:lineRule="auto"/>
              <w:rPr>
                <w:rFonts w:ascii="Arial"/>
                <w:sz w:val="21"/>
              </w:rPr>
            </w:pPr>
          </w:p>
          <w:p w14:paraId="0DC8482D">
            <w:pPr>
              <w:pStyle w:val="6"/>
              <w:spacing w:before="59" w:line="220" w:lineRule="auto"/>
              <w:ind w:left="188"/>
            </w:pPr>
            <w:r>
              <w:rPr>
                <w:spacing w:val="-6"/>
              </w:rPr>
              <w:t>定性</w:t>
            </w:r>
          </w:p>
        </w:tc>
        <w:tc>
          <w:tcPr>
            <w:tcW w:w="730" w:type="dxa"/>
            <w:tcBorders>
              <w:bottom w:val="nil"/>
            </w:tcBorders>
            <w:vAlign w:val="top"/>
          </w:tcPr>
          <w:p w14:paraId="3C0FC2D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top"/>
          </w:tcPr>
          <w:p w14:paraId="6A72FB50">
            <w:pPr>
              <w:spacing w:line="271" w:lineRule="auto"/>
              <w:rPr>
                <w:rFonts w:ascii="Arial"/>
                <w:sz w:val="21"/>
              </w:rPr>
            </w:pPr>
          </w:p>
          <w:p w14:paraId="202545C0">
            <w:pPr>
              <w:pStyle w:val="6"/>
              <w:spacing w:before="59" w:line="220" w:lineRule="auto"/>
              <w:ind w:left="186"/>
            </w:pPr>
            <w:r>
              <w:rPr>
                <w:spacing w:val="-4"/>
              </w:rPr>
              <w:t>提升</w:t>
            </w:r>
          </w:p>
        </w:tc>
        <w:tc>
          <w:tcPr>
            <w:tcW w:w="845" w:type="dxa"/>
            <w:tcBorders>
              <w:bottom w:val="nil"/>
            </w:tcBorders>
            <w:vAlign w:val="top"/>
          </w:tcPr>
          <w:p w14:paraId="447432FA">
            <w:pPr>
              <w:spacing w:line="271" w:lineRule="auto"/>
              <w:rPr>
                <w:rFonts w:ascii="Arial"/>
                <w:sz w:val="21"/>
              </w:rPr>
            </w:pPr>
          </w:p>
          <w:p w14:paraId="2C0E8E9A">
            <w:pPr>
              <w:pStyle w:val="6"/>
              <w:spacing w:before="59" w:line="220" w:lineRule="auto"/>
              <w:ind w:left="248"/>
            </w:pPr>
            <w:r>
              <w:rPr>
                <w:spacing w:val="-4"/>
              </w:rPr>
              <w:t>提升</w:t>
            </w:r>
          </w:p>
        </w:tc>
        <w:tc>
          <w:tcPr>
            <w:tcW w:w="583" w:type="dxa"/>
            <w:tcBorders>
              <w:bottom w:val="nil"/>
            </w:tcBorders>
            <w:vAlign w:val="top"/>
          </w:tcPr>
          <w:p w14:paraId="2850F907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tcBorders>
              <w:bottom w:val="nil"/>
            </w:tcBorders>
            <w:vAlign w:val="top"/>
          </w:tcPr>
          <w:p w14:paraId="6CC2762A">
            <w:pPr>
              <w:spacing w:line="271" w:lineRule="auto"/>
              <w:rPr>
                <w:rFonts w:ascii="Arial"/>
                <w:sz w:val="21"/>
              </w:rPr>
            </w:pPr>
          </w:p>
          <w:p w14:paraId="36D2BBF3">
            <w:pPr>
              <w:pStyle w:val="6"/>
              <w:spacing w:before="58"/>
              <w:ind w:left="222"/>
            </w:pPr>
            <w:r>
              <w:rPr>
                <w:spacing w:val="-10"/>
              </w:rPr>
              <w:t>10</w:t>
            </w:r>
          </w:p>
        </w:tc>
        <w:tc>
          <w:tcPr>
            <w:tcW w:w="531" w:type="dxa"/>
            <w:tcBorders>
              <w:bottom w:val="nil"/>
            </w:tcBorders>
            <w:vAlign w:val="top"/>
          </w:tcPr>
          <w:p w14:paraId="58251349">
            <w:pPr>
              <w:spacing w:line="271" w:lineRule="auto"/>
              <w:rPr>
                <w:rFonts w:ascii="Arial"/>
                <w:sz w:val="21"/>
              </w:rPr>
            </w:pPr>
          </w:p>
          <w:p w14:paraId="07FC847F">
            <w:pPr>
              <w:pStyle w:val="6"/>
              <w:spacing w:before="58"/>
              <w:ind w:left="194"/>
            </w:pPr>
            <w:r>
              <w:rPr>
                <w:spacing w:val="-10"/>
              </w:rPr>
              <w:t>10</w:t>
            </w:r>
          </w:p>
        </w:tc>
        <w:tc>
          <w:tcPr>
            <w:tcW w:w="1183" w:type="dxa"/>
            <w:tcBorders>
              <w:bottom w:val="nil"/>
            </w:tcBorders>
            <w:vAlign w:val="top"/>
          </w:tcPr>
          <w:p w14:paraId="38DF88E7">
            <w:pPr>
              <w:rPr>
                <w:rFonts w:ascii="Arial"/>
                <w:sz w:val="21"/>
              </w:rPr>
            </w:pPr>
          </w:p>
        </w:tc>
      </w:tr>
    </w:tbl>
    <w:p w14:paraId="7547D4BC">
      <w:pPr>
        <w:pStyle w:val="2"/>
      </w:pPr>
    </w:p>
    <w:p w14:paraId="08401CA7">
      <w:pPr>
        <w:sectPr>
          <w:footerReference r:id="rId28" w:type="default"/>
          <w:pgSz w:w="11906" w:h="16839"/>
          <w:pgMar w:top="1431" w:right="960" w:bottom="1091" w:left="1006" w:header="0" w:footer="929" w:gutter="0"/>
          <w:cols w:space="720" w:num="1"/>
        </w:sectPr>
      </w:pPr>
    </w:p>
    <w:p w14:paraId="404274BF">
      <w:pPr>
        <w:spacing w:before="92"/>
      </w:pPr>
    </w:p>
    <w:p w14:paraId="1E32C7DD">
      <w:pPr>
        <w:spacing w:before="91"/>
      </w:pPr>
    </w:p>
    <w:tbl>
      <w:tblPr>
        <w:tblStyle w:val="5"/>
        <w:tblW w:w="9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600"/>
        <w:gridCol w:w="974"/>
        <w:gridCol w:w="1456"/>
        <w:gridCol w:w="718"/>
        <w:gridCol w:w="730"/>
        <w:gridCol w:w="720"/>
        <w:gridCol w:w="845"/>
        <w:gridCol w:w="583"/>
        <w:gridCol w:w="585"/>
        <w:gridCol w:w="531"/>
        <w:gridCol w:w="1183"/>
      </w:tblGrid>
      <w:tr w14:paraId="348EB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4DEC3EE4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 w14:paraId="6A36CD28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2BFB63E5">
            <w:pPr>
              <w:spacing w:line="319" w:lineRule="auto"/>
              <w:rPr>
                <w:rFonts w:ascii="Arial"/>
                <w:sz w:val="21"/>
              </w:rPr>
            </w:pPr>
          </w:p>
          <w:p w14:paraId="664156B6">
            <w:pPr>
              <w:spacing w:line="319" w:lineRule="auto"/>
              <w:rPr>
                <w:rFonts w:ascii="Arial"/>
                <w:sz w:val="21"/>
              </w:rPr>
            </w:pPr>
          </w:p>
          <w:p w14:paraId="579FA9A7">
            <w:pPr>
              <w:pStyle w:val="6"/>
              <w:spacing w:before="59" w:line="322" w:lineRule="auto"/>
              <w:ind w:left="227" w:right="126" w:hanging="96"/>
            </w:pPr>
            <w:r>
              <w:rPr>
                <w:spacing w:val="-3"/>
              </w:rPr>
              <w:t>可持续影</w:t>
            </w:r>
            <w:r>
              <w:rPr>
                <w:spacing w:val="-6"/>
              </w:rPr>
              <w:t>响指标</w:t>
            </w:r>
          </w:p>
        </w:tc>
        <w:tc>
          <w:tcPr>
            <w:tcW w:w="1456" w:type="dxa"/>
            <w:vAlign w:val="top"/>
          </w:tcPr>
          <w:p w14:paraId="7EADAFF1">
            <w:pPr>
              <w:pStyle w:val="6"/>
              <w:spacing w:before="71" w:line="219" w:lineRule="auto"/>
              <w:ind w:left="192"/>
            </w:pPr>
            <w:r>
              <w:rPr>
                <w:spacing w:val="-2"/>
              </w:rPr>
              <w:t>推动人民检察</w:t>
            </w:r>
          </w:p>
          <w:p w14:paraId="2E349D97">
            <w:pPr>
              <w:pStyle w:val="6"/>
              <w:spacing w:before="98" w:line="219" w:lineRule="auto"/>
              <w:ind w:left="204"/>
            </w:pPr>
            <w:r>
              <w:rPr>
                <w:spacing w:val="-4"/>
              </w:rPr>
              <w:t>院业务装备建</w:t>
            </w:r>
          </w:p>
          <w:p w14:paraId="5CA14C88">
            <w:pPr>
              <w:pStyle w:val="6"/>
              <w:spacing w:before="98" w:line="220" w:lineRule="auto"/>
              <w:ind w:left="284"/>
            </w:pPr>
            <w:r>
              <w:rPr>
                <w:spacing w:val="-2"/>
              </w:rPr>
              <w:t>设的标准化</w:t>
            </w:r>
          </w:p>
        </w:tc>
        <w:tc>
          <w:tcPr>
            <w:tcW w:w="718" w:type="dxa"/>
            <w:vAlign w:val="top"/>
          </w:tcPr>
          <w:p w14:paraId="43E6499E">
            <w:pPr>
              <w:spacing w:line="322" w:lineRule="auto"/>
              <w:rPr>
                <w:rFonts w:ascii="Arial"/>
                <w:sz w:val="21"/>
              </w:rPr>
            </w:pPr>
          </w:p>
          <w:p w14:paraId="786D1B3F">
            <w:pPr>
              <w:pStyle w:val="6"/>
              <w:spacing w:before="59" w:line="220" w:lineRule="auto"/>
              <w:ind w:left="188"/>
            </w:pPr>
            <w:r>
              <w:rPr>
                <w:spacing w:val="-6"/>
              </w:rPr>
              <w:t>定性</w:t>
            </w:r>
          </w:p>
        </w:tc>
        <w:tc>
          <w:tcPr>
            <w:tcW w:w="730" w:type="dxa"/>
            <w:vAlign w:val="top"/>
          </w:tcPr>
          <w:p w14:paraId="63F6465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FAB6504">
            <w:pPr>
              <w:spacing w:line="322" w:lineRule="auto"/>
              <w:rPr>
                <w:rFonts w:ascii="Arial"/>
                <w:sz w:val="21"/>
              </w:rPr>
            </w:pPr>
          </w:p>
          <w:p w14:paraId="5796618A">
            <w:pPr>
              <w:pStyle w:val="6"/>
              <w:spacing w:before="59" w:line="219" w:lineRule="auto"/>
              <w:ind w:left="186"/>
            </w:pPr>
            <w:r>
              <w:rPr>
                <w:spacing w:val="-4"/>
              </w:rPr>
              <w:t>促进</w:t>
            </w:r>
          </w:p>
        </w:tc>
        <w:tc>
          <w:tcPr>
            <w:tcW w:w="845" w:type="dxa"/>
            <w:vAlign w:val="top"/>
          </w:tcPr>
          <w:p w14:paraId="1AD7CB2A">
            <w:pPr>
              <w:spacing w:line="322" w:lineRule="auto"/>
              <w:rPr>
                <w:rFonts w:ascii="Arial"/>
                <w:sz w:val="21"/>
              </w:rPr>
            </w:pPr>
          </w:p>
          <w:p w14:paraId="160506F4">
            <w:pPr>
              <w:pStyle w:val="6"/>
              <w:spacing w:before="59" w:line="219" w:lineRule="auto"/>
              <w:ind w:left="248"/>
            </w:pPr>
            <w:r>
              <w:rPr>
                <w:spacing w:val="-4"/>
              </w:rPr>
              <w:t>促进</w:t>
            </w:r>
          </w:p>
        </w:tc>
        <w:tc>
          <w:tcPr>
            <w:tcW w:w="583" w:type="dxa"/>
            <w:vAlign w:val="top"/>
          </w:tcPr>
          <w:p w14:paraId="7718AFA8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325F36B0">
            <w:pPr>
              <w:spacing w:line="322" w:lineRule="auto"/>
              <w:rPr>
                <w:rFonts w:ascii="Arial"/>
                <w:sz w:val="21"/>
              </w:rPr>
            </w:pPr>
          </w:p>
          <w:p w14:paraId="62C22C86">
            <w:pPr>
              <w:pStyle w:val="6"/>
              <w:spacing w:before="58"/>
              <w:ind w:left="256"/>
            </w:pPr>
            <w:r>
              <w:t>5</w:t>
            </w:r>
          </w:p>
        </w:tc>
        <w:tc>
          <w:tcPr>
            <w:tcW w:w="531" w:type="dxa"/>
            <w:vAlign w:val="top"/>
          </w:tcPr>
          <w:p w14:paraId="6B70C3ED">
            <w:pPr>
              <w:spacing w:line="322" w:lineRule="auto"/>
              <w:rPr>
                <w:rFonts w:ascii="Arial"/>
                <w:sz w:val="21"/>
              </w:rPr>
            </w:pPr>
          </w:p>
          <w:p w14:paraId="4A5015D0">
            <w:pPr>
              <w:pStyle w:val="6"/>
              <w:spacing w:before="58"/>
              <w:ind w:left="230"/>
            </w:pPr>
            <w:r>
              <w:t>5</w:t>
            </w:r>
          </w:p>
        </w:tc>
        <w:tc>
          <w:tcPr>
            <w:tcW w:w="1183" w:type="dxa"/>
            <w:vAlign w:val="top"/>
          </w:tcPr>
          <w:p w14:paraId="389F9B4F">
            <w:pPr>
              <w:rPr>
                <w:rFonts w:ascii="Arial"/>
                <w:sz w:val="21"/>
              </w:rPr>
            </w:pPr>
          </w:p>
        </w:tc>
      </w:tr>
      <w:tr w14:paraId="0A08B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54114298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 w14:paraId="5FC98D60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0A8CDB24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5180E623">
            <w:pPr>
              <w:pStyle w:val="6"/>
              <w:spacing w:before="70" w:line="219" w:lineRule="auto"/>
              <w:ind w:left="193"/>
            </w:pPr>
            <w:r>
              <w:rPr>
                <w:spacing w:val="-2"/>
              </w:rPr>
              <w:t>增强科学合理</w:t>
            </w:r>
          </w:p>
          <w:p w14:paraId="7E895146">
            <w:pPr>
              <w:pStyle w:val="6"/>
              <w:spacing w:before="99" w:line="219" w:lineRule="auto"/>
              <w:ind w:left="207"/>
            </w:pPr>
            <w:r>
              <w:rPr>
                <w:spacing w:val="-4"/>
              </w:rPr>
              <w:t>的资产配置制</w:t>
            </w:r>
          </w:p>
          <w:p w14:paraId="7EAFFC7B">
            <w:pPr>
              <w:pStyle w:val="6"/>
              <w:spacing w:before="98" w:line="220" w:lineRule="auto"/>
              <w:ind w:left="640"/>
            </w:pPr>
            <w:r>
              <w:t>度</w:t>
            </w:r>
          </w:p>
        </w:tc>
        <w:tc>
          <w:tcPr>
            <w:tcW w:w="718" w:type="dxa"/>
            <w:vAlign w:val="top"/>
          </w:tcPr>
          <w:p w14:paraId="741E0FAF">
            <w:pPr>
              <w:spacing w:line="321" w:lineRule="auto"/>
              <w:rPr>
                <w:rFonts w:ascii="Arial"/>
                <w:sz w:val="21"/>
              </w:rPr>
            </w:pPr>
          </w:p>
          <w:p w14:paraId="155AEE2E">
            <w:pPr>
              <w:pStyle w:val="6"/>
              <w:spacing w:before="59" w:line="220" w:lineRule="auto"/>
              <w:ind w:left="188"/>
            </w:pPr>
            <w:r>
              <w:rPr>
                <w:spacing w:val="-6"/>
              </w:rPr>
              <w:t>定性</w:t>
            </w:r>
          </w:p>
        </w:tc>
        <w:tc>
          <w:tcPr>
            <w:tcW w:w="730" w:type="dxa"/>
            <w:vAlign w:val="top"/>
          </w:tcPr>
          <w:p w14:paraId="118E673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15557D3">
            <w:pPr>
              <w:spacing w:line="321" w:lineRule="auto"/>
              <w:rPr>
                <w:rFonts w:ascii="Arial"/>
                <w:sz w:val="21"/>
              </w:rPr>
            </w:pPr>
          </w:p>
          <w:p w14:paraId="1EB07D4B">
            <w:pPr>
              <w:pStyle w:val="6"/>
              <w:spacing w:before="59" w:line="221" w:lineRule="auto"/>
              <w:ind w:left="186"/>
            </w:pPr>
            <w:r>
              <w:rPr>
                <w:spacing w:val="-4"/>
              </w:rPr>
              <w:t>增强</w:t>
            </w:r>
          </w:p>
        </w:tc>
        <w:tc>
          <w:tcPr>
            <w:tcW w:w="845" w:type="dxa"/>
            <w:vAlign w:val="top"/>
          </w:tcPr>
          <w:p w14:paraId="1C6C5E7F">
            <w:pPr>
              <w:spacing w:line="321" w:lineRule="auto"/>
              <w:rPr>
                <w:rFonts w:ascii="Arial"/>
                <w:sz w:val="21"/>
              </w:rPr>
            </w:pPr>
          </w:p>
          <w:p w14:paraId="49021355">
            <w:pPr>
              <w:pStyle w:val="6"/>
              <w:spacing w:before="59" w:line="221" w:lineRule="auto"/>
              <w:ind w:left="248"/>
            </w:pPr>
            <w:r>
              <w:rPr>
                <w:spacing w:val="-4"/>
              </w:rPr>
              <w:t>增强</w:t>
            </w:r>
          </w:p>
        </w:tc>
        <w:tc>
          <w:tcPr>
            <w:tcW w:w="583" w:type="dxa"/>
            <w:vAlign w:val="top"/>
          </w:tcPr>
          <w:p w14:paraId="49DC68DA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71B53637">
            <w:pPr>
              <w:spacing w:line="321" w:lineRule="auto"/>
              <w:rPr>
                <w:rFonts w:ascii="Arial"/>
                <w:sz w:val="21"/>
              </w:rPr>
            </w:pPr>
          </w:p>
          <w:p w14:paraId="42994A92">
            <w:pPr>
              <w:pStyle w:val="6"/>
              <w:spacing w:before="58"/>
              <w:ind w:left="256"/>
            </w:pPr>
            <w:r>
              <w:t>5</w:t>
            </w:r>
          </w:p>
        </w:tc>
        <w:tc>
          <w:tcPr>
            <w:tcW w:w="531" w:type="dxa"/>
            <w:vAlign w:val="top"/>
          </w:tcPr>
          <w:p w14:paraId="2D8E8DC3">
            <w:pPr>
              <w:spacing w:line="321" w:lineRule="auto"/>
              <w:rPr>
                <w:rFonts w:ascii="Arial"/>
                <w:sz w:val="21"/>
              </w:rPr>
            </w:pPr>
          </w:p>
          <w:p w14:paraId="29103270">
            <w:pPr>
              <w:pStyle w:val="6"/>
              <w:spacing w:before="58"/>
              <w:ind w:left="230"/>
            </w:pPr>
            <w:r>
              <w:t>5</w:t>
            </w:r>
          </w:p>
        </w:tc>
        <w:tc>
          <w:tcPr>
            <w:tcW w:w="1183" w:type="dxa"/>
            <w:vAlign w:val="top"/>
          </w:tcPr>
          <w:p w14:paraId="7B43589A">
            <w:pPr>
              <w:rPr>
                <w:rFonts w:ascii="Arial"/>
                <w:sz w:val="21"/>
              </w:rPr>
            </w:pPr>
          </w:p>
        </w:tc>
      </w:tr>
      <w:tr w14:paraId="22917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091E2013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44C7814">
            <w:pPr>
              <w:pStyle w:val="6"/>
              <w:spacing w:before="71" w:line="219" w:lineRule="auto"/>
              <w:ind w:left="122"/>
            </w:pPr>
            <w:r>
              <w:rPr>
                <w:spacing w:val="-4"/>
              </w:rPr>
              <w:t>满意</w:t>
            </w:r>
          </w:p>
          <w:p w14:paraId="72B88F53">
            <w:pPr>
              <w:pStyle w:val="6"/>
              <w:spacing w:before="97" w:line="281" w:lineRule="auto"/>
              <w:ind w:left="212" w:right="119" w:hanging="90"/>
            </w:pPr>
            <w:r>
              <w:rPr>
                <w:spacing w:val="-4"/>
              </w:rPr>
              <w:t>度指</w:t>
            </w:r>
            <w:r>
              <w:t>标</w:t>
            </w:r>
          </w:p>
        </w:tc>
        <w:tc>
          <w:tcPr>
            <w:tcW w:w="974" w:type="dxa"/>
            <w:vAlign w:val="top"/>
          </w:tcPr>
          <w:p w14:paraId="1199A8F4">
            <w:pPr>
              <w:pStyle w:val="6"/>
              <w:spacing w:before="71" w:line="219" w:lineRule="auto"/>
              <w:ind w:left="130"/>
            </w:pPr>
            <w:r>
              <w:rPr>
                <w:spacing w:val="-2"/>
              </w:rPr>
              <w:t>服务对象</w:t>
            </w:r>
          </w:p>
          <w:p w14:paraId="62780B88">
            <w:pPr>
              <w:pStyle w:val="6"/>
              <w:spacing w:before="97" w:line="281" w:lineRule="auto"/>
              <w:ind w:left="399" w:right="126" w:hanging="269"/>
            </w:pPr>
            <w:r>
              <w:rPr>
                <w:spacing w:val="-2"/>
              </w:rPr>
              <w:t>满意度指</w:t>
            </w:r>
            <w:r>
              <w:t>标</w:t>
            </w:r>
          </w:p>
        </w:tc>
        <w:tc>
          <w:tcPr>
            <w:tcW w:w="1456" w:type="dxa"/>
            <w:vAlign w:val="top"/>
          </w:tcPr>
          <w:p w14:paraId="0281E734">
            <w:pPr>
              <w:pStyle w:val="6"/>
              <w:spacing w:before="227" w:line="322" w:lineRule="auto"/>
              <w:ind w:left="640" w:right="185" w:hanging="444"/>
            </w:pPr>
            <w:r>
              <w:rPr>
                <w:spacing w:val="-2"/>
              </w:rPr>
              <w:t>办公人员满意</w:t>
            </w:r>
            <w:r>
              <w:t>度</w:t>
            </w:r>
          </w:p>
        </w:tc>
        <w:tc>
          <w:tcPr>
            <w:tcW w:w="718" w:type="dxa"/>
            <w:vAlign w:val="top"/>
          </w:tcPr>
          <w:p w14:paraId="2D086E1C">
            <w:pPr>
              <w:spacing w:line="322" w:lineRule="auto"/>
              <w:rPr>
                <w:rFonts w:ascii="Arial"/>
                <w:sz w:val="21"/>
              </w:rPr>
            </w:pPr>
          </w:p>
          <w:p w14:paraId="1D313BF7">
            <w:pPr>
              <w:pStyle w:val="6"/>
              <w:spacing w:before="58" w:line="221" w:lineRule="auto"/>
              <w:ind w:left="187"/>
            </w:pPr>
            <w:r>
              <w:rPr>
                <w:spacing w:val="-6"/>
              </w:rPr>
              <w:t>正向</w:t>
            </w:r>
          </w:p>
        </w:tc>
        <w:tc>
          <w:tcPr>
            <w:tcW w:w="730" w:type="dxa"/>
            <w:vAlign w:val="top"/>
          </w:tcPr>
          <w:p w14:paraId="61BC5E84">
            <w:pPr>
              <w:pStyle w:val="6"/>
              <w:spacing w:before="227" w:line="220" w:lineRule="auto"/>
              <w:ind w:left="192"/>
            </w:pPr>
            <w:r>
              <w:rPr>
                <w:spacing w:val="-5"/>
              </w:rPr>
              <w:t>大于</w:t>
            </w:r>
          </w:p>
          <w:p w14:paraId="624AFB41">
            <w:pPr>
              <w:pStyle w:val="6"/>
              <w:spacing w:before="97" w:line="219" w:lineRule="auto"/>
              <w:ind w:left="192"/>
            </w:pPr>
            <w:r>
              <w:rPr>
                <w:spacing w:val="-5"/>
              </w:rPr>
              <w:t>等于</w:t>
            </w:r>
          </w:p>
        </w:tc>
        <w:tc>
          <w:tcPr>
            <w:tcW w:w="720" w:type="dxa"/>
            <w:vAlign w:val="top"/>
          </w:tcPr>
          <w:p w14:paraId="49542A79">
            <w:pPr>
              <w:spacing w:line="322" w:lineRule="auto"/>
              <w:rPr>
                <w:rFonts w:ascii="Arial"/>
                <w:sz w:val="21"/>
              </w:rPr>
            </w:pPr>
          </w:p>
          <w:p w14:paraId="4783DF3D">
            <w:pPr>
              <w:pStyle w:val="6"/>
              <w:spacing w:before="58"/>
              <w:ind w:left="277"/>
            </w:pPr>
            <w:r>
              <w:rPr>
                <w:spacing w:val="-4"/>
              </w:rPr>
              <w:t>95</w:t>
            </w:r>
          </w:p>
        </w:tc>
        <w:tc>
          <w:tcPr>
            <w:tcW w:w="845" w:type="dxa"/>
            <w:vAlign w:val="top"/>
          </w:tcPr>
          <w:p w14:paraId="7AA336F1">
            <w:pPr>
              <w:spacing w:line="322" w:lineRule="auto"/>
              <w:rPr>
                <w:rFonts w:ascii="Arial"/>
                <w:sz w:val="21"/>
              </w:rPr>
            </w:pPr>
          </w:p>
          <w:p w14:paraId="6B0BE5E2">
            <w:pPr>
              <w:pStyle w:val="6"/>
              <w:spacing w:before="58" w:line="239" w:lineRule="auto"/>
              <w:ind w:left="205"/>
            </w:pPr>
            <w:r>
              <w:rPr>
                <w:spacing w:val="-2"/>
              </w:rPr>
              <w:t>98.50</w:t>
            </w:r>
          </w:p>
        </w:tc>
        <w:tc>
          <w:tcPr>
            <w:tcW w:w="583" w:type="dxa"/>
            <w:vAlign w:val="top"/>
          </w:tcPr>
          <w:p w14:paraId="64247398">
            <w:pPr>
              <w:spacing w:line="322" w:lineRule="auto"/>
              <w:rPr>
                <w:rFonts w:ascii="Arial"/>
                <w:sz w:val="21"/>
              </w:rPr>
            </w:pPr>
          </w:p>
          <w:p w14:paraId="5A934D25">
            <w:pPr>
              <w:pStyle w:val="6"/>
              <w:spacing w:before="58"/>
              <w:ind w:left="247"/>
            </w:pPr>
            <w:r>
              <w:t>%</w:t>
            </w:r>
          </w:p>
        </w:tc>
        <w:tc>
          <w:tcPr>
            <w:tcW w:w="585" w:type="dxa"/>
            <w:vAlign w:val="top"/>
          </w:tcPr>
          <w:p w14:paraId="5A39C32E">
            <w:pPr>
              <w:spacing w:line="322" w:lineRule="auto"/>
              <w:rPr>
                <w:rFonts w:ascii="Arial"/>
                <w:sz w:val="21"/>
              </w:rPr>
            </w:pPr>
          </w:p>
          <w:p w14:paraId="58C6E57F">
            <w:pPr>
              <w:pStyle w:val="6"/>
              <w:spacing w:before="58"/>
              <w:ind w:left="222"/>
            </w:pPr>
            <w:r>
              <w:rPr>
                <w:spacing w:val="-10"/>
              </w:rPr>
              <w:t>10</w:t>
            </w:r>
          </w:p>
        </w:tc>
        <w:tc>
          <w:tcPr>
            <w:tcW w:w="531" w:type="dxa"/>
            <w:vAlign w:val="top"/>
          </w:tcPr>
          <w:p w14:paraId="53394456">
            <w:pPr>
              <w:spacing w:line="322" w:lineRule="auto"/>
              <w:rPr>
                <w:rFonts w:ascii="Arial"/>
                <w:sz w:val="21"/>
              </w:rPr>
            </w:pPr>
          </w:p>
          <w:p w14:paraId="47477097">
            <w:pPr>
              <w:pStyle w:val="6"/>
              <w:spacing w:before="58"/>
              <w:ind w:left="194"/>
            </w:pPr>
            <w:r>
              <w:rPr>
                <w:spacing w:val="-10"/>
              </w:rPr>
              <w:t>10</w:t>
            </w:r>
          </w:p>
        </w:tc>
        <w:tc>
          <w:tcPr>
            <w:tcW w:w="1183" w:type="dxa"/>
            <w:vAlign w:val="top"/>
          </w:tcPr>
          <w:p w14:paraId="65A0F43A">
            <w:pPr>
              <w:rPr>
                <w:rFonts w:ascii="Arial"/>
                <w:sz w:val="21"/>
              </w:rPr>
            </w:pPr>
          </w:p>
        </w:tc>
      </w:tr>
      <w:tr w14:paraId="4146F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635" w:type="dxa"/>
            <w:gridSpan w:val="9"/>
            <w:vAlign w:val="top"/>
          </w:tcPr>
          <w:p w14:paraId="153B39E0">
            <w:pPr>
              <w:spacing w:line="323" w:lineRule="auto"/>
              <w:rPr>
                <w:rFonts w:ascii="Arial"/>
                <w:sz w:val="21"/>
              </w:rPr>
            </w:pPr>
          </w:p>
          <w:p w14:paraId="469A0A3B">
            <w:pPr>
              <w:pStyle w:val="6"/>
              <w:spacing w:before="58" w:line="220" w:lineRule="auto"/>
              <w:ind w:left="3649"/>
            </w:pPr>
            <w:r>
              <w:rPr>
                <w:spacing w:val="-6"/>
              </w:rPr>
              <w:t>总分</w:t>
            </w:r>
          </w:p>
        </w:tc>
        <w:tc>
          <w:tcPr>
            <w:tcW w:w="585" w:type="dxa"/>
            <w:vAlign w:val="top"/>
          </w:tcPr>
          <w:p w14:paraId="6C5E9495">
            <w:pPr>
              <w:spacing w:line="322" w:lineRule="auto"/>
              <w:rPr>
                <w:rFonts w:ascii="Arial"/>
                <w:sz w:val="21"/>
              </w:rPr>
            </w:pPr>
          </w:p>
          <w:p w14:paraId="14B040A4">
            <w:pPr>
              <w:pStyle w:val="6"/>
              <w:spacing w:before="59"/>
              <w:ind w:left="177"/>
            </w:pPr>
            <w:r>
              <w:rPr>
                <w:spacing w:val="-7"/>
              </w:rPr>
              <w:t>100</w:t>
            </w:r>
          </w:p>
        </w:tc>
        <w:tc>
          <w:tcPr>
            <w:tcW w:w="531" w:type="dxa"/>
            <w:vAlign w:val="top"/>
          </w:tcPr>
          <w:p w14:paraId="463D1F86">
            <w:pPr>
              <w:spacing w:line="322" w:lineRule="auto"/>
              <w:rPr>
                <w:rFonts w:ascii="Arial"/>
                <w:sz w:val="21"/>
              </w:rPr>
            </w:pPr>
          </w:p>
          <w:p w14:paraId="3E784A8C">
            <w:pPr>
              <w:pStyle w:val="6"/>
              <w:spacing w:before="59"/>
              <w:ind w:left="149"/>
            </w:pPr>
            <w:r>
              <w:rPr>
                <w:spacing w:val="-7"/>
              </w:rPr>
              <w:t>100</w:t>
            </w:r>
          </w:p>
        </w:tc>
        <w:tc>
          <w:tcPr>
            <w:tcW w:w="1183" w:type="dxa"/>
            <w:vAlign w:val="top"/>
          </w:tcPr>
          <w:p w14:paraId="5C5E3B94">
            <w:pPr>
              <w:rPr>
                <w:rFonts w:ascii="Arial"/>
                <w:sz w:val="21"/>
              </w:rPr>
            </w:pPr>
          </w:p>
        </w:tc>
      </w:tr>
    </w:tbl>
    <w:p w14:paraId="1A5E65E7">
      <w:pPr>
        <w:pStyle w:val="2"/>
        <w:spacing w:line="315" w:lineRule="auto"/>
      </w:pPr>
    </w:p>
    <w:p w14:paraId="5D84CFB4">
      <w:pPr>
        <w:pStyle w:val="2"/>
        <w:spacing w:line="316" w:lineRule="auto"/>
      </w:pPr>
    </w:p>
    <w:p w14:paraId="11FCCBA0">
      <w:pPr>
        <w:spacing w:before="101" w:line="220" w:lineRule="auto"/>
        <w:ind w:left="122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三）部门项目绩效评价结果。</w:t>
      </w:r>
    </w:p>
    <w:p w14:paraId="07DCF26B">
      <w:pPr>
        <w:spacing w:before="189" w:line="334" w:lineRule="auto"/>
        <w:ind w:left="601" w:right="515" w:firstLine="5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办案（业务）经费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项目绩效评价综合得分为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95.6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9"/>
          <w:sz w:val="31"/>
          <w:szCs w:val="31"/>
        </w:rPr>
        <w:t>分，绩</w:t>
      </w:r>
      <w:r>
        <w:rPr>
          <w:rFonts w:ascii="仿宋" w:hAnsi="仿宋" w:eastAsia="仿宋" w:cs="仿宋"/>
          <w:spacing w:val="6"/>
          <w:sz w:val="31"/>
          <w:szCs w:val="31"/>
        </w:rPr>
        <w:t>效评价结果为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优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。重点项目绩效评价得分情况详见部门具体绩</w:t>
      </w:r>
    </w:p>
    <w:p w14:paraId="7C2B5043">
      <w:pPr>
        <w:spacing w:line="222" w:lineRule="auto"/>
        <w:ind w:left="6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效评价结果。</w:t>
      </w:r>
    </w:p>
    <w:p w14:paraId="7257928E">
      <w:pPr>
        <w:pStyle w:val="2"/>
        <w:spacing w:line="321" w:lineRule="auto"/>
      </w:pPr>
    </w:p>
    <w:p w14:paraId="05795ABB">
      <w:pPr>
        <w:pStyle w:val="2"/>
        <w:spacing w:line="321" w:lineRule="auto"/>
      </w:pPr>
    </w:p>
    <w:p w14:paraId="5E789B39">
      <w:pPr>
        <w:spacing w:before="101" w:line="221" w:lineRule="auto"/>
        <w:ind w:left="3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第三部分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名词解释</w:t>
      </w:r>
    </w:p>
    <w:p w14:paraId="29396D08">
      <w:pPr>
        <w:spacing w:before="191" w:line="333" w:lineRule="auto"/>
        <w:ind w:left="582" w:right="477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6"/>
          <w:sz w:val="31"/>
          <w:szCs w:val="31"/>
        </w:rPr>
        <w:t>从同级财政部门取得的各类财政拨款，包括一般公共预算财政拨款、政府性基金预算财政</w:t>
      </w:r>
      <w:r>
        <w:rPr>
          <w:rFonts w:ascii="仿宋" w:hAnsi="仿宋" w:eastAsia="仿宋" w:cs="仿宋"/>
          <w:spacing w:val="5"/>
          <w:sz w:val="31"/>
          <w:szCs w:val="31"/>
        </w:rPr>
        <w:t>拨款、国有资</w:t>
      </w:r>
      <w:r>
        <w:rPr>
          <w:rFonts w:ascii="仿宋" w:hAnsi="仿宋" w:eastAsia="仿宋" w:cs="仿宋"/>
          <w:spacing w:val="8"/>
          <w:sz w:val="31"/>
          <w:szCs w:val="31"/>
        </w:rPr>
        <w:t>本经营预算财政拨款。</w:t>
      </w:r>
    </w:p>
    <w:p w14:paraId="0AEE11E3">
      <w:pPr>
        <w:spacing w:before="1" w:line="277" w:lineRule="auto"/>
        <w:ind w:left="620" w:right="515" w:firstLine="62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二、上级补助收入：</w:t>
      </w:r>
      <w:r>
        <w:rPr>
          <w:rFonts w:ascii="仿宋" w:hAnsi="仿宋" w:eastAsia="仿宋" w:cs="仿宋"/>
          <w:spacing w:val="4"/>
          <w:sz w:val="31"/>
          <w:szCs w:val="31"/>
        </w:rPr>
        <w:t>指事业单位从主管部门和上级单位取得的非财政补助收入。</w:t>
      </w:r>
    </w:p>
    <w:p w14:paraId="07162712">
      <w:pPr>
        <w:spacing w:before="190" w:line="296" w:lineRule="auto"/>
        <w:ind w:left="596" w:right="515" w:firstLine="64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三、财政专户管理教育收费：</w:t>
      </w:r>
      <w:r>
        <w:rPr>
          <w:rFonts w:ascii="仿宋" w:hAnsi="仿宋" w:eastAsia="仿宋" w:cs="仿宋"/>
          <w:spacing w:val="4"/>
          <w:sz w:val="31"/>
          <w:szCs w:val="31"/>
        </w:rPr>
        <w:t>指缴入财政专户、实行专项管</w:t>
      </w:r>
      <w:r>
        <w:rPr>
          <w:rFonts w:ascii="仿宋" w:hAnsi="仿宋" w:eastAsia="仿宋" w:cs="仿宋"/>
          <w:spacing w:val="5"/>
          <w:sz w:val="31"/>
          <w:szCs w:val="31"/>
        </w:rPr>
        <w:t>理的高中以上学费、住宿费、高校委托培养费、函大、电大、夜</w:t>
      </w:r>
      <w:r>
        <w:rPr>
          <w:rFonts w:ascii="仿宋" w:hAnsi="仿宋" w:eastAsia="仿宋" w:cs="仿宋"/>
          <w:spacing w:val="8"/>
          <w:sz w:val="31"/>
          <w:szCs w:val="31"/>
        </w:rPr>
        <w:t>大及短训班培训费等教育收费。</w:t>
      </w:r>
    </w:p>
    <w:p w14:paraId="3A4B5E8A"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06" w:h="16839"/>
          <w:pgMar w:top="1431" w:right="960" w:bottom="1091" w:left="1006" w:header="0" w:footer="929" w:gutter="0"/>
          <w:cols w:space="720" w:num="1"/>
        </w:sectPr>
      </w:pPr>
    </w:p>
    <w:p w14:paraId="73AA2FD0">
      <w:pPr>
        <w:pStyle w:val="2"/>
        <w:spacing w:line="245" w:lineRule="auto"/>
      </w:pPr>
    </w:p>
    <w:p w14:paraId="3A5DC16F">
      <w:pPr>
        <w:pStyle w:val="2"/>
        <w:spacing w:line="246" w:lineRule="auto"/>
      </w:pPr>
    </w:p>
    <w:p w14:paraId="17624E62">
      <w:pPr>
        <w:pStyle w:val="2"/>
        <w:spacing w:line="246" w:lineRule="auto"/>
      </w:pPr>
    </w:p>
    <w:p w14:paraId="49C734F0">
      <w:pPr>
        <w:spacing w:before="101" w:line="278" w:lineRule="auto"/>
        <w:ind w:left="6" w:right="97" w:firstLine="66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四、事业收入：</w:t>
      </w:r>
      <w:r>
        <w:rPr>
          <w:rFonts w:ascii="仿宋" w:hAnsi="仿宋" w:eastAsia="仿宋" w:cs="仿宋"/>
          <w:spacing w:val="4"/>
          <w:sz w:val="31"/>
          <w:szCs w:val="31"/>
        </w:rPr>
        <w:t>指事业单位开展专业业务活动及其辅助活动</w:t>
      </w:r>
      <w:r>
        <w:rPr>
          <w:rFonts w:ascii="仿宋" w:hAnsi="仿宋" w:eastAsia="仿宋" w:cs="仿宋"/>
          <w:spacing w:val="5"/>
          <w:sz w:val="31"/>
          <w:szCs w:val="31"/>
        </w:rPr>
        <w:t>取得的收入。</w:t>
      </w:r>
    </w:p>
    <w:p w14:paraId="17CC7E26">
      <w:pPr>
        <w:spacing w:before="185" w:line="278" w:lineRule="auto"/>
        <w:ind w:left="17" w:right="97" w:firstLine="63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五、经营收入：</w:t>
      </w:r>
      <w:r>
        <w:rPr>
          <w:rFonts w:ascii="仿宋" w:hAnsi="仿宋" w:eastAsia="仿宋" w:cs="仿宋"/>
          <w:spacing w:val="4"/>
          <w:sz w:val="31"/>
          <w:szCs w:val="31"/>
        </w:rPr>
        <w:t>指事业单位在专业业务活动及其辅助活动之</w:t>
      </w:r>
      <w:r>
        <w:rPr>
          <w:rFonts w:ascii="仿宋" w:hAnsi="仿宋" w:eastAsia="仿宋" w:cs="仿宋"/>
          <w:spacing w:val="7"/>
          <w:sz w:val="31"/>
          <w:szCs w:val="31"/>
        </w:rPr>
        <w:t>外开展非独立核算经营活动取得的收入。</w:t>
      </w:r>
    </w:p>
    <w:p w14:paraId="00A867DA">
      <w:pPr>
        <w:spacing w:before="185" w:line="278" w:lineRule="auto"/>
        <w:ind w:left="3" w:right="95" w:firstLine="64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六、附属单位上缴收入：</w:t>
      </w:r>
      <w:r>
        <w:rPr>
          <w:rFonts w:ascii="仿宋" w:hAnsi="仿宋" w:eastAsia="仿宋" w:cs="仿宋"/>
          <w:spacing w:val="5"/>
          <w:sz w:val="31"/>
          <w:szCs w:val="31"/>
        </w:rPr>
        <w:t>指事业单位取得附属</w:t>
      </w:r>
      <w:r>
        <w:rPr>
          <w:rFonts w:ascii="仿宋" w:hAnsi="仿宋" w:eastAsia="仿宋" w:cs="仿宋"/>
          <w:spacing w:val="4"/>
          <w:sz w:val="31"/>
          <w:szCs w:val="31"/>
        </w:rPr>
        <w:t>独立核算单位</w:t>
      </w:r>
      <w:r>
        <w:rPr>
          <w:rFonts w:ascii="仿宋" w:hAnsi="仿宋" w:eastAsia="仿宋" w:cs="仿宋"/>
          <w:spacing w:val="7"/>
          <w:sz w:val="31"/>
          <w:szCs w:val="31"/>
        </w:rPr>
        <w:t>按照有关规定上缴的收入。</w:t>
      </w:r>
    </w:p>
    <w:p w14:paraId="329FBD8C">
      <w:pPr>
        <w:spacing w:before="188" w:line="277" w:lineRule="auto"/>
        <w:ind w:left="12" w:firstLine="64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七、其他收入：</w:t>
      </w:r>
      <w:r>
        <w:rPr>
          <w:rFonts w:ascii="仿宋" w:hAnsi="仿宋" w:eastAsia="仿宋" w:cs="仿宋"/>
          <w:spacing w:val="-4"/>
          <w:sz w:val="31"/>
          <w:szCs w:val="31"/>
        </w:rPr>
        <w:t>取得的除上述财政拨款收入、上级补助收入、</w:t>
      </w:r>
      <w:r>
        <w:rPr>
          <w:rFonts w:ascii="仿宋" w:hAnsi="仿宋" w:eastAsia="仿宋" w:cs="仿宋"/>
          <w:spacing w:val="8"/>
          <w:sz w:val="31"/>
          <w:szCs w:val="31"/>
        </w:rPr>
        <w:t>事业收入、经营收入、附属单位上缴收入等以外的各项收入。</w:t>
      </w:r>
    </w:p>
    <w:p w14:paraId="453C4B2F">
      <w:pPr>
        <w:spacing w:before="186" w:line="297" w:lineRule="auto"/>
        <w:ind w:left="2" w:right="95" w:firstLine="64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八、使用非财政拨款结余（含专用结余</w:t>
      </w:r>
      <w:r>
        <w:rPr>
          <w:rFonts w:ascii="黑体" w:hAnsi="黑体" w:eastAsia="黑体" w:cs="黑体"/>
          <w:spacing w:val="-8"/>
          <w:sz w:val="31"/>
          <w:szCs w:val="31"/>
        </w:rPr>
        <w:t>）：</w:t>
      </w:r>
      <w:r>
        <w:rPr>
          <w:rFonts w:ascii="仿宋" w:hAnsi="仿宋" w:eastAsia="仿宋" w:cs="仿宋"/>
          <w:spacing w:val="6"/>
          <w:sz w:val="31"/>
          <w:szCs w:val="31"/>
        </w:rPr>
        <w:t>指事业单位按照</w:t>
      </w:r>
      <w:r>
        <w:rPr>
          <w:rFonts w:ascii="仿宋" w:hAnsi="仿宋" w:eastAsia="仿宋" w:cs="仿宋"/>
          <w:spacing w:val="5"/>
          <w:sz w:val="31"/>
          <w:szCs w:val="31"/>
        </w:rPr>
        <w:t>预算管理要求使用非财政拨款结余弥补收支差额的金额，以及使</w:t>
      </w:r>
      <w:r>
        <w:rPr>
          <w:rFonts w:ascii="仿宋" w:hAnsi="仿宋" w:eastAsia="仿宋" w:cs="仿宋"/>
          <w:spacing w:val="8"/>
          <w:sz w:val="31"/>
          <w:szCs w:val="31"/>
        </w:rPr>
        <w:t>用专用结余安排支出的金额。</w:t>
      </w:r>
    </w:p>
    <w:p w14:paraId="25D448BA">
      <w:pPr>
        <w:spacing w:before="184" w:line="277" w:lineRule="auto"/>
        <w:ind w:left="12" w:right="97" w:firstLine="63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九、年初结转和结余：</w:t>
      </w:r>
      <w:r>
        <w:rPr>
          <w:rFonts w:ascii="仿宋" w:hAnsi="仿宋" w:eastAsia="仿宋" w:cs="仿宋"/>
          <w:spacing w:val="5"/>
          <w:sz w:val="31"/>
          <w:szCs w:val="31"/>
        </w:rPr>
        <w:t>指单位上年结转本年</w:t>
      </w:r>
      <w:r>
        <w:rPr>
          <w:rFonts w:ascii="仿宋" w:hAnsi="仿宋" w:eastAsia="仿宋" w:cs="仿宋"/>
          <w:spacing w:val="4"/>
          <w:sz w:val="31"/>
          <w:szCs w:val="31"/>
        </w:rPr>
        <w:t>使用的基本支出</w:t>
      </w:r>
      <w:r>
        <w:rPr>
          <w:rFonts w:ascii="仿宋" w:hAnsi="仿宋" w:eastAsia="仿宋" w:cs="仿宋"/>
          <w:spacing w:val="8"/>
          <w:sz w:val="31"/>
          <w:szCs w:val="31"/>
        </w:rPr>
        <w:t>结转、项目支出结转和结余、经营结余。</w:t>
      </w:r>
    </w:p>
    <w:p w14:paraId="70A4FABF">
      <w:pPr>
        <w:spacing w:before="191" w:line="278" w:lineRule="auto"/>
        <w:ind w:right="97" w:firstLine="65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十、结余分配：</w:t>
      </w:r>
      <w:r>
        <w:rPr>
          <w:rFonts w:ascii="仿宋" w:hAnsi="仿宋" w:eastAsia="仿宋" w:cs="仿宋"/>
          <w:spacing w:val="4"/>
          <w:sz w:val="31"/>
          <w:szCs w:val="31"/>
        </w:rPr>
        <w:t>指单位按规定缴纳企业所得税以及从非财政</w:t>
      </w:r>
      <w:r>
        <w:rPr>
          <w:rFonts w:ascii="仿宋" w:hAnsi="仿宋" w:eastAsia="仿宋" w:cs="仿宋"/>
          <w:spacing w:val="8"/>
          <w:sz w:val="31"/>
          <w:szCs w:val="31"/>
        </w:rPr>
        <w:t>拨款结余或经营结余中提取各类结余的情况。</w:t>
      </w:r>
    </w:p>
    <w:p w14:paraId="0399A051">
      <w:pPr>
        <w:spacing w:before="188" w:line="276" w:lineRule="auto"/>
        <w:ind w:left="18" w:right="97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十一、年末结转和结余资金：</w:t>
      </w:r>
      <w:r>
        <w:rPr>
          <w:rFonts w:ascii="仿宋" w:hAnsi="仿宋" w:eastAsia="仿宋" w:cs="仿宋"/>
          <w:spacing w:val="4"/>
          <w:sz w:val="31"/>
          <w:szCs w:val="31"/>
        </w:rPr>
        <w:t>指单位结转下年的基本支出结</w:t>
      </w:r>
      <w:r>
        <w:rPr>
          <w:rFonts w:ascii="仿宋" w:hAnsi="仿宋" w:eastAsia="仿宋" w:cs="仿宋"/>
          <w:spacing w:val="7"/>
          <w:sz w:val="31"/>
          <w:szCs w:val="31"/>
        </w:rPr>
        <w:t>转、项目支出结转和结余、经营结余。</w:t>
      </w:r>
    </w:p>
    <w:p w14:paraId="46647CCC">
      <w:pPr>
        <w:spacing w:before="193" w:line="278" w:lineRule="auto"/>
        <w:ind w:left="8" w:right="97" w:firstLine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十二、基本支出：</w:t>
      </w:r>
      <w:r>
        <w:rPr>
          <w:rFonts w:ascii="仿宋" w:hAnsi="仿宋" w:eastAsia="仿宋" w:cs="仿宋"/>
          <w:spacing w:val="4"/>
          <w:sz w:val="31"/>
          <w:szCs w:val="31"/>
        </w:rPr>
        <w:t>指为保障机构正常运转、完成日常工作任</w:t>
      </w:r>
      <w:r>
        <w:rPr>
          <w:rFonts w:ascii="仿宋" w:hAnsi="仿宋" w:eastAsia="仿宋" w:cs="仿宋"/>
          <w:spacing w:val="8"/>
          <w:sz w:val="31"/>
          <w:szCs w:val="31"/>
        </w:rPr>
        <w:t>务所发生的支出，包括人员经费和公用经费。</w:t>
      </w:r>
    </w:p>
    <w:p w14:paraId="51940887">
      <w:pPr>
        <w:spacing w:before="185" w:line="278" w:lineRule="auto"/>
        <w:ind w:left="3" w:right="95" w:firstLine="64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十三、项目支出：</w:t>
      </w:r>
      <w:r>
        <w:rPr>
          <w:rFonts w:ascii="仿宋" w:hAnsi="仿宋" w:eastAsia="仿宋" w:cs="仿宋"/>
          <w:spacing w:val="5"/>
          <w:sz w:val="31"/>
          <w:szCs w:val="31"/>
        </w:rPr>
        <w:t>指在为完成特定的行政工</w:t>
      </w:r>
      <w:r>
        <w:rPr>
          <w:rFonts w:ascii="仿宋" w:hAnsi="仿宋" w:eastAsia="仿宋" w:cs="仿宋"/>
          <w:spacing w:val="4"/>
          <w:sz w:val="31"/>
          <w:szCs w:val="31"/>
        </w:rPr>
        <w:t>作任务或事业发</w:t>
      </w:r>
      <w:r>
        <w:rPr>
          <w:rFonts w:ascii="仿宋" w:hAnsi="仿宋" w:eastAsia="仿宋" w:cs="仿宋"/>
          <w:spacing w:val="7"/>
          <w:sz w:val="31"/>
          <w:szCs w:val="31"/>
        </w:rPr>
        <w:t>展目标所发生的支出。</w:t>
      </w:r>
    </w:p>
    <w:p w14:paraId="27B01A13">
      <w:pPr>
        <w:spacing w:line="278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6" w:h="16839"/>
          <w:pgMar w:top="1431" w:right="1378" w:bottom="1091" w:left="1596" w:header="0" w:footer="929" w:gutter="0"/>
          <w:cols w:space="720" w:num="1"/>
        </w:sectPr>
      </w:pPr>
    </w:p>
    <w:p w14:paraId="3E7842F5">
      <w:pPr>
        <w:pStyle w:val="2"/>
        <w:spacing w:line="246" w:lineRule="auto"/>
      </w:pPr>
    </w:p>
    <w:p w14:paraId="3E3B1819">
      <w:pPr>
        <w:pStyle w:val="2"/>
        <w:spacing w:line="246" w:lineRule="auto"/>
      </w:pPr>
    </w:p>
    <w:p w14:paraId="61FC1B9D">
      <w:pPr>
        <w:pStyle w:val="2"/>
        <w:spacing w:line="246" w:lineRule="auto"/>
      </w:pPr>
    </w:p>
    <w:p w14:paraId="18D7270E">
      <w:pPr>
        <w:spacing w:before="100" w:line="277" w:lineRule="auto"/>
        <w:ind w:left="28" w:right="258" w:firstLine="62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十四、上缴上级支出：</w:t>
      </w:r>
      <w:r>
        <w:rPr>
          <w:rFonts w:ascii="仿宋" w:hAnsi="仿宋" w:eastAsia="仿宋" w:cs="仿宋"/>
          <w:spacing w:val="4"/>
          <w:sz w:val="31"/>
          <w:szCs w:val="31"/>
        </w:rPr>
        <w:t>指事业单位按照财政部门和主管部门</w:t>
      </w:r>
      <w:r>
        <w:rPr>
          <w:rFonts w:ascii="仿宋" w:hAnsi="仿宋" w:eastAsia="仿宋" w:cs="仿宋"/>
          <w:spacing w:val="6"/>
          <w:sz w:val="31"/>
          <w:szCs w:val="31"/>
        </w:rPr>
        <w:t>的规定上缴上级单位的支出。</w:t>
      </w:r>
    </w:p>
    <w:p w14:paraId="2B2C67ED">
      <w:pPr>
        <w:spacing w:before="188" w:line="278" w:lineRule="auto"/>
        <w:ind w:left="8" w:right="256" w:firstLine="64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十五、经营支出：</w:t>
      </w:r>
      <w:r>
        <w:rPr>
          <w:rFonts w:ascii="仿宋" w:hAnsi="仿宋" w:eastAsia="仿宋" w:cs="仿宋"/>
          <w:spacing w:val="5"/>
          <w:sz w:val="31"/>
          <w:szCs w:val="31"/>
        </w:rPr>
        <w:t>指事业单位在专业业务活</w:t>
      </w:r>
      <w:r>
        <w:rPr>
          <w:rFonts w:ascii="仿宋" w:hAnsi="仿宋" w:eastAsia="仿宋" w:cs="仿宋"/>
          <w:spacing w:val="4"/>
          <w:sz w:val="31"/>
          <w:szCs w:val="31"/>
        </w:rPr>
        <w:t>动及其辅助活动</w:t>
      </w:r>
      <w:r>
        <w:rPr>
          <w:rFonts w:ascii="仿宋" w:hAnsi="仿宋" w:eastAsia="仿宋" w:cs="仿宋"/>
          <w:spacing w:val="8"/>
          <w:sz w:val="31"/>
          <w:szCs w:val="31"/>
        </w:rPr>
        <w:t>之外开展非独立核算经营活动发生的支出。</w:t>
      </w:r>
    </w:p>
    <w:p w14:paraId="62385451">
      <w:pPr>
        <w:spacing w:before="186" w:line="277" w:lineRule="auto"/>
        <w:ind w:left="16" w:right="258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十六、对附属单位补助支出：</w:t>
      </w:r>
      <w:r>
        <w:rPr>
          <w:rFonts w:ascii="仿宋" w:hAnsi="仿宋" w:eastAsia="仿宋" w:cs="仿宋"/>
          <w:spacing w:val="4"/>
          <w:sz w:val="31"/>
          <w:szCs w:val="31"/>
        </w:rPr>
        <w:t>指事业单位用财政拨款收入之</w:t>
      </w:r>
      <w:r>
        <w:rPr>
          <w:rFonts w:ascii="仿宋" w:hAnsi="仿宋" w:eastAsia="仿宋" w:cs="仿宋"/>
          <w:spacing w:val="7"/>
          <w:sz w:val="31"/>
          <w:szCs w:val="31"/>
        </w:rPr>
        <w:t>外的收入对附属单位补助发生的支出。</w:t>
      </w:r>
    </w:p>
    <w:p w14:paraId="43CC6EC7">
      <w:pPr>
        <w:spacing w:before="190" w:line="321" w:lineRule="auto"/>
        <w:ind w:right="231" w:firstLine="65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十七、“三公</w:t>
      </w:r>
      <w:r>
        <w:rPr>
          <w:rFonts w:ascii="黑体" w:hAnsi="黑体" w:eastAsia="黑体" w:cs="黑体"/>
          <w:spacing w:val="-1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”经费：</w:t>
      </w:r>
      <w:r>
        <w:rPr>
          <w:rFonts w:ascii="仿宋" w:hAnsi="仿宋" w:eastAsia="仿宋" w:cs="仿宋"/>
          <w:spacing w:val="3"/>
          <w:sz w:val="31"/>
          <w:szCs w:val="31"/>
        </w:rPr>
        <w:t>指部门（单位）用财政拨款安排的因</w:t>
      </w:r>
      <w:r>
        <w:rPr>
          <w:rFonts w:ascii="仿宋" w:hAnsi="仿宋" w:eastAsia="仿宋" w:cs="仿宋"/>
          <w:spacing w:val="5"/>
          <w:sz w:val="31"/>
          <w:szCs w:val="31"/>
        </w:rPr>
        <w:t>公出国（境）费、公务用车购置及运行维护费和公务接待费。其</w:t>
      </w:r>
      <w:r>
        <w:rPr>
          <w:rFonts w:ascii="仿宋" w:hAnsi="仿宋" w:eastAsia="仿宋" w:cs="仿宋"/>
          <w:spacing w:val="7"/>
          <w:sz w:val="31"/>
          <w:szCs w:val="31"/>
        </w:rPr>
        <w:t>中，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因公出国（境）费反映部门（单位）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</w:t>
      </w:r>
      <w:r>
        <w:rPr>
          <w:rFonts w:ascii="仿宋" w:hAnsi="仿宋" w:eastAsia="仿宋" w:cs="仿宋"/>
          <w:spacing w:val="7"/>
          <w:sz w:val="31"/>
          <w:szCs w:val="31"/>
        </w:rPr>
        <w:t>公务出国（境</w:t>
      </w:r>
      <w:r>
        <w:rPr>
          <w:rFonts w:ascii="仿宋" w:hAnsi="仿宋" w:eastAsia="仿宋" w:cs="仿宋"/>
          <w:spacing w:val="6"/>
          <w:sz w:val="31"/>
          <w:szCs w:val="31"/>
        </w:rPr>
        <w:t>）的国</w:t>
      </w:r>
      <w:r>
        <w:rPr>
          <w:rFonts w:ascii="仿宋" w:hAnsi="仿宋" w:eastAsia="仿宋" w:cs="仿宋"/>
          <w:spacing w:val="5"/>
          <w:sz w:val="31"/>
          <w:szCs w:val="31"/>
        </w:rPr>
        <w:t>际旅费、国外城市间交通费、住宿费、伙食费、培训费、公杂费等支出；公务用车购置及运行维护费反映部门（单位）公务用车购置支出（含车辆购置税、牌照费）以及按规定保留的公务用车</w:t>
      </w:r>
      <w:r>
        <w:rPr>
          <w:rFonts w:ascii="仿宋" w:hAnsi="仿宋" w:eastAsia="仿宋" w:cs="仿宋"/>
          <w:spacing w:val="6"/>
          <w:sz w:val="31"/>
          <w:szCs w:val="31"/>
        </w:rPr>
        <w:t>燃料费、维修费、过路过桥费、保险费、安全奖励费用等支出；</w:t>
      </w:r>
      <w:r>
        <w:rPr>
          <w:rFonts w:ascii="仿宋" w:hAnsi="仿宋" w:eastAsia="仿宋" w:cs="仿宋"/>
          <w:spacing w:val="5"/>
          <w:sz w:val="31"/>
          <w:szCs w:val="31"/>
        </w:rPr>
        <w:t>公务接待费反映部门（单位）按规定开支的各类公务接待（含外</w:t>
      </w:r>
      <w:r>
        <w:rPr>
          <w:rFonts w:ascii="仿宋" w:hAnsi="仿宋" w:eastAsia="仿宋" w:cs="仿宋"/>
          <w:spacing w:val="6"/>
          <w:sz w:val="31"/>
          <w:szCs w:val="31"/>
        </w:rPr>
        <w:t>宾接待）费用。</w:t>
      </w:r>
    </w:p>
    <w:p w14:paraId="13DFC758">
      <w:pPr>
        <w:spacing w:before="186" w:line="311" w:lineRule="auto"/>
        <w:ind w:left="5" w:firstLine="64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十八、机关运行经费：</w:t>
      </w:r>
      <w:r>
        <w:rPr>
          <w:rFonts w:ascii="仿宋" w:hAnsi="仿宋" w:eastAsia="仿宋" w:cs="仿宋"/>
          <w:spacing w:val="4"/>
          <w:sz w:val="31"/>
          <w:szCs w:val="31"/>
        </w:rPr>
        <w:t>指行政单位和参照公务员法管理的事</w:t>
      </w:r>
      <w:r>
        <w:rPr>
          <w:rFonts w:ascii="仿宋" w:hAnsi="仿宋" w:eastAsia="仿宋" w:cs="仿宋"/>
          <w:spacing w:val="3"/>
          <w:sz w:val="31"/>
          <w:szCs w:val="31"/>
        </w:rPr>
        <w:t>业单位财政拨款基本支出中的公用经费支出，包括办公及印刷费、邮电费、差旅费、会议费、福利费、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日常维修费、专用材料及一</w:t>
      </w:r>
      <w:r>
        <w:rPr>
          <w:rFonts w:ascii="仿宋" w:hAnsi="仿宋" w:eastAsia="仿宋" w:cs="仿宋"/>
          <w:spacing w:val="5"/>
          <w:sz w:val="31"/>
          <w:szCs w:val="31"/>
        </w:rPr>
        <w:t>般设备购置费、办公用房水电费、办公用房取暖费、办公用房物</w:t>
      </w:r>
      <w:r>
        <w:rPr>
          <w:rFonts w:ascii="仿宋" w:hAnsi="仿宋" w:eastAsia="仿宋" w:cs="仿宋"/>
          <w:spacing w:val="8"/>
          <w:sz w:val="31"/>
          <w:szCs w:val="31"/>
        </w:rPr>
        <w:t>业管理费、公务用车运行维护费及其他费用等。</w:t>
      </w:r>
    </w:p>
    <w:p w14:paraId="468B77B1">
      <w:pPr>
        <w:spacing w:line="311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6" w:h="16839"/>
          <w:pgMar w:top="1431" w:right="1217" w:bottom="1091" w:left="1597" w:header="0" w:footer="929" w:gutter="0"/>
          <w:cols w:space="720" w:num="1"/>
        </w:sectPr>
      </w:pPr>
    </w:p>
    <w:p w14:paraId="3D5ADEBD">
      <w:pPr>
        <w:pStyle w:val="2"/>
        <w:spacing w:line="245" w:lineRule="auto"/>
      </w:pPr>
    </w:p>
    <w:p w14:paraId="13C755DD">
      <w:pPr>
        <w:pStyle w:val="2"/>
        <w:spacing w:line="246" w:lineRule="auto"/>
      </w:pPr>
    </w:p>
    <w:p w14:paraId="79A63BBA">
      <w:pPr>
        <w:pStyle w:val="2"/>
        <w:spacing w:line="246" w:lineRule="auto"/>
      </w:pPr>
    </w:p>
    <w:p w14:paraId="0EB036F9">
      <w:pPr>
        <w:spacing w:before="101" w:line="220" w:lineRule="auto"/>
        <w:ind w:left="111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第四部分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决算公开联系方式及信息反馈渠道</w:t>
      </w:r>
    </w:p>
    <w:p w14:paraId="6DDCBA39">
      <w:pPr>
        <w:pStyle w:val="2"/>
        <w:spacing w:line="322" w:lineRule="auto"/>
      </w:pPr>
    </w:p>
    <w:p w14:paraId="259408B3">
      <w:pPr>
        <w:pStyle w:val="2"/>
        <w:spacing w:line="322" w:lineRule="auto"/>
      </w:pPr>
    </w:p>
    <w:p w14:paraId="36485CCC">
      <w:pPr>
        <w:spacing w:before="101" w:line="222" w:lineRule="auto"/>
        <w:ind w:left="4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本部门决算公开信息反馈和联系方式：</w:t>
      </w:r>
    </w:p>
    <w:p w14:paraId="0F662223">
      <w:pPr>
        <w:spacing w:before="190" w:line="222" w:lineRule="auto"/>
        <w:ind w:left="45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联系人：敖日格乐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6"/>
          <w:sz w:val="31"/>
          <w:szCs w:val="31"/>
        </w:rPr>
        <w:t>联系电话：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0477-6638890</w:t>
      </w:r>
    </w:p>
    <w:p w14:paraId="730A558A">
      <w:pPr>
        <w:pStyle w:val="2"/>
        <w:spacing w:line="320" w:lineRule="auto"/>
      </w:pPr>
    </w:p>
    <w:p w14:paraId="178BDFED">
      <w:pPr>
        <w:pStyle w:val="2"/>
        <w:spacing w:line="320" w:lineRule="auto"/>
      </w:pPr>
    </w:p>
    <w:p w14:paraId="10DEF128">
      <w:pPr>
        <w:spacing w:before="100" w:line="221" w:lineRule="auto"/>
        <w:ind w:left="207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第五部分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部门（单位）决算表</w:t>
      </w:r>
    </w:p>
    <w:p w14:paraId="479562CF">
      <w:pPr>
        <w:pStyle w:val="2"/>
        <w:spacing w:line="322" w:lineRule="auto"/>
      </w:pPr>
    </w:p>
    <w:p w14:paraId="5241B37D">
      <w:pPr>
        <w:pStyle w:val="2"/>
        <w:spacing w:line="323" w:lineRule="auto"/>
      </w:pPr>
    </w:p>
    <w:p w14:paraId="7D15DA88">
      <w:pPr>
        <w:spacing w:before="101" w:line="222" w:lineRule="auto"/>
        <w:ind w:left="4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见附件。</w:t>
      </w:r>
    </w:p>
    <w:sectPr>
      <w:footerReference r:id="rId32" w:type="default"/>
      <w:pgSz w:w="11906" w:h="16839"/>
      <w:pgMar w:top="1431" w:right="1785" w:bottom="1091" w:left="1785" w:header="0" w:footer="9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2E93F">
    <w:pPr>
      <w:spacing w:line="230" w:lineRule="auto"/>
      <w:ind w:left="419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54F70">
    <w:pPr>
      <w:spacing w:line="176" w:lineRule="auto"/>
      <w:ind w:left="43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DECAC">
    <w:pPr>
      <w:spacing w:line="176" w:lineRule="auto"/>
      <w:ind w:left="434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0BD91">
    <w:pPr>
      <w:spacing w:line="176" w:lineRule="auto"/>
      <w:ind w:left="43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3DA5C">
    <w:pPr>
      <w:spacing w:line="176" w:lineRule="auto"/>
      <w:ind w:left="43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93D25">
    <w:pPr>
      <w:spacing w:line="176" w:lineRule="auto"/>
      <w:ind w:left="43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57AE9">
    <w:pPr>
      <w:spacing w:line="176" w:lineRule="auto"/>
      <w:ind w:left="43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664E8">
    <w:pPr>
      <w:spacing w:line="176" w:lineRule="auto"/>
      <w:ind w:left="433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81A88">
    <w:pPr>
      <w:spacing w:line="176" w:lineRule="auto"/>
      <w:ind w:left="43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16CCB">
    <w:pPr>
      <w:spacing w:line="176" w:lineRule="auto"/>
      <w:ind w:left="434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CCF57">
    <w:pPr>
      <w:spacing w:line="176" w:lineRule="auto"/>
      <w:ind w:left="43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38977">
    <w:pPr>
      <w:spacing w:line="176" w:lineRule="auto"/>
      <w:ind w:left="436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64C04">
    <w:pPr>
      <w:spacing w:line="176" w:lineRule="auto"/>
      <w:ind w:left="43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3379F">
    <w:pPr>
      <w:spacing w:line="176" w:lineRule="auto"/>
      <w:ind w:left="48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F461A">
    <w:pPr>
      <w:spacing w:line="176" w:lineRule="auto"/>
      <w:ind w:left="48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3509D">
    <w:pPr>
      <w:spacing w:line="176" w:lineRule="auto"/>
      <w:ind w:left="491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B66B1">
    <w:pPr>
      <w:spacing w:line="176" w:lineRule="auto"/>
      <w:ind w:left="491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A1DA3">
    <w:pPr>
      <w:spacing w:line="176" w:lineRule="auto"/>
      <w:ind w:left="491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FAB5F">
    <w:pPr>
      <w:spacing w:line="176" w:lineRule="auto"/>
      <w:ind w:left="43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F054D">
    <w:pPr>
      <w:spacing w:line="176" w:lineRule="auto"/>
      <w:ind w:left="4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3FEB9">
    <w:pPr>
      <w:spacing w:line="176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36ABF">
    <w:pPr>
      <w:spacing w:line="176" w:lineRule="auto"/>
      <w:ind w:left="436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BE1E4">
    <w:pPr>
      <w:spacing w:line="176" w:lineRule="auto"/>
      <w:ind w:left="43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4A8D4">
    <w:pPr>
      <w:spacing w:line="173" w:lineRule="auto"/>
      <w:ind w:left="43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8EC3C">
    <w:pPr>
      <w:spacing w:line="176" w:lineRule="auto"/>
      <w:ind w:left="437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8B429">
    <w:pPr>
      <w:spacing w:line="173" w:lineRule="auto"/>
      <w:ind w:left="444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945D2">
    <w:pPr>
      <w:spacing w:line="176" w:lineRule="auto"/>
      <w:ind w:left="44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21EAB">
    <w:pPr>
      <w:spacing w:line="176" w:lineRule="auto"/>
      <w:ind w:left="43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6C3A9E"/>
    <w:rsid w:val="27827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image" Target="media/image2.jpeg"/><Relationship Id="rId34" Type="http://schemas.openxmlformats.org/officeDocument/2006/relationships/image" Target="media/image1.jpeg"/><Relationship Id="rId33" Type="http://schemas.openxmlformats.org/officeDocument/2006/relationships/theme" Target="theme/theme1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2592</Words>
  <Characters>2644</Characters>
  <TotalTime>2</TotalTime>
  <ScaleCrop>false</ScaleCrop>
  <LinksUpToDate>false</LinksUpToDate>
  <CharactersWithSpaces>2729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2025-08-12T15:11:00Z</dcterms:created>
  <dc:creator>Administrator</dc:creator>
  <cp:lastModifiedBy>蘇楊A.D.T.O.Y.</cp:lastModifiedBy>
  <dcterms:modified xsi:type="dcterms:W3CDTF">2025-08-12T07:36:07Z</dcterms:modified>
  <dc:title>××年度××部门/单位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2025-08-12T15:33:22Z</vt:filetime>
  </property>
  <property fmtid="{D5CDD505-2E9C-101B-9397-08002B2CF9AE}" pid="4" name="KSOTemplateDocerSaveRecord">
    <vt:lpwstr>eyJoZGlkIjoiODVlY2RiMDNkNjAxMjlhNmFhNzE2NmMwOWM5ZWZiMmYiLCJ1c2VySWQiOiIyOTM0MzkxNjIifQ==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4314C35AF1A243B995429567002C2789_13</vt:lpwstr>
  </property>
</Properties>
</file>